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65" w:rsidRDefault="009603E4">
      <w:pPr>
        <w:pStyle w:val="a3"/>
        <w:widowControl/>
        <w:shd w:val="clear" w:color="auto" w:fill="FFFFFF"/>
        <w:spacing w:beforeAutospacing="0" w:afterAutospacing="0" w:line="515" w:lineRule="atLeast"/>
        <w:ind w:firstLine="420"/>
        <w:jc w:val="center"/>
        <w:rPr>
          <w:rFonts w:ascii="Calibri" w:hAnsi="Calibri" w:cs="Calibri"/>
          <w:color w:val="333333"/>
          <w:sz w:val="21"/>
          <w:szCs w:val="21"/>
        </w:rPr>
      </w:pPr>
      <w:r>
        <w:rPr>
          <w:rFonts w:ascii="微软雅黑" w:eastAsia="微软雅黑" w:hAnsi="微软雅黑" w:cs="微软雅黑"/>
          <w:b/>
          <w:bCs/>
          <w:color w:val="000000"/>
          <w:sz w:val="22"/>
          <w:szCs w:val="22"/>
          <w:shd w:val="clear" w:color="auto" w:fill="FFFFFF"/>
        </w:rPr>
        <w:t>新华基金管理股份有限公司关于</w:t>
      </w:r>
      <w:r>
        <w:rPr>
          <w:rFonts w:ascii="微软雅黑" w:eastAsia="微软雅黑" w:hAnsi="微软雅黑" w:cs="微软雅黑" w:hint="eastAsia"/>
          <w:b/>
          <w:bCs/>
          <w:color w:val="000000"/>
          <w:sz w:val="22"/>
          <w:szCs w:val="22"/>
          <w:shd w:val="clear" w:color="auto" w:fill="FFFFFF"/>
        </w:rPr>
        <w:t>在上海利得基金销售有限公司</w:t>
      </w:r>
      <w:r>
        <w:rPr>
          <w:rFonts w:ascii="微软雅黑" w:eastAsia="微软雅黑" w:hAnsi="微软雅黑" w:cs="微软雅黑"/>
          <w:b/>
          <w:bCs/>
          <w:color w:val="000000"/>
          <w:sz w:val="22"/>
          <w:szCs w:val="22"/>
          <w:shd w:val="clear" w:color="auto" w:fill="FFFFFF"/>
        </w:rPr>
        <w:t>下线</w:t>
      </w:r>
      <w:r>
        <w:rPr>
          <w:rFonts w:ascii="微软雅黑" w:eastAsia="微软雅黑" w:hAnsi="微软雅黑" w:cs="微软雅黑" w:hint="eastAsia"/>
          <w:b/>
          <w:bCs/>
          <w:color w:val="000000"/>
          <w:sz w:val="22"/>
          <w:szCs w:val="22"/>
          <w:shd w:val="clear" w:color="auto" w:fill="FFFFFF"/>
        </w:rPr>
        <w:t>和</w:t>
      </w:r>
      <w:r>
        <w:rPr>
          <w:rFonts w:ascii="微软雅黑" w:eastAsia="微软雅黑" w:hAnsi="微软雅黑" w:cs="微软雅黑" w:hint="eastAsia"/>
          <w:b/>
          <w:bCs/>
          <w:color w:val="000000"/>
          <w:sz w:val="22"/>
          <w:szCs w:val="22"/>
          <w:shd w:val="clear" w:color="auto" w:fill="FFFFFF"/>
        </w:rPr>
        <w:t>上线</w:t>
      </w:r>
      <w:r>
        <w:rPr>
          <w:rFonts w:ascii="微软雅黑" w:eastAsia="微软雅黑" w:hAnsi="微软雅黑" w:cs="微软雅黑" w:hint="eastAsia"/>
          <w:b/>
          <w:bCs/>
          <w:color w:val="000000"/>
          <w:sz w:val="22"/>
          <w:szCs w:val="22"/>
          <w:shd w:val="clear" w:color="auto" w:fill="FFFFFF"/>
        </w:rPr>
        <w:t>部分基金</w:t>
      </w:r>
      <w:r>
        <w:rPr>
          <w:rFonts w:ascii="微软雅黑" w:eastAsia="微软雅黑" w:hAnsi="微软雅黑" w:cs="微软雅黑" w:hint="eastAsia"/>
          <w:b/>
          <w:bCs/>
          <w:color w:val="000000"/>
          <w:sz w:val="22"/>
          <w:szCs w:val="22"/>
          <w:shd w:val="clear" w:color="auto" w:fill="FFFFFF"/>
        </w:rPr>
        <w:t>并开通</w:t>
      </w:r>
      <w:r>
        <w:rPr>
          <w:rFonts w:ascii="微软雅黑" w:eastAsia="微软雅黑" w:hAnsi="微软雅黑" w:cs="微软雅黑" w:hint="eastAsia"/>
          <w:b/>
          <w:bCs/>
          <w:color w:val="000000"/>
          <w:sz w:val="22"/>
          <w:szCs w:val="22"/>
          <w:shd w:val="clear" w:color="auto" w:fill="FFFFFF"/>
        </w:rPr>
        <w:t>相关</w:t>
      </w:r>
      <w:r>
        <w:rPr>
          <w:rFonts w:ascii="微软雅黑" w:eastAsia="微软雅黑" w:hAnsi="微软雅黑" w:cs="微软雅黑" w:hint="eastAsia"/>
          <w:b/>
          <w:bCs/>
          <w:color w:val="000000"/>
          <w:sz w:val="22"/>
          <w:szCs w:val="22"/>
          <w:shd w:val="clear" w:color="auto" w:fill="FFFFFF"/>
        </w:rPr>
        <w:t>业务及参加网上费率优惠活动的公告</w:t>
      </w:r>
    </w:p>
    <w:p w:rsidR="00892C65" w:rsidRDefault="009603E4">
      <w:pPr>
        <w:pStyle w:val="a3"/>
        <w:widowControl/>
        <w:shd w:val="clear" w:color="auto" w:fill="FFFFFF"/>
        <w:spacing w:beforeAutospacing="0" w:afterAutospacing="0" w:line="510" w:lineRule="atLeast"/>
        <w:ind w:firstLine="420"/>
        <w:jc w:val="center"/>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公告送出日期：</w:t>
      </w:r>
      <w:r>
        <w:rPr>
          <w:rFonts w:ascii="微软雅黑" w:eastAsia="微软雅黑" w:hAnsi="微软雅黑" w:cs="微软雅黑" w:hint="eastAsia"/>
          <w:color w:val="000000"/>
          <w:sz w:val="22"/>
          <w:szCs w:val="22"/>
          <w:shd w:val="clear" w:color="auto" w:fill="FFFFFF"/>
        </w:rPr>
        <w:t>2024</w:t>
      </w:r>
      <w:r>
        <w:rPr>
          <w:rFonts w:ascii="微软雅黑" w:eastAsia="微软雅黑" w:hAnsi="微软雅黑" w:cs="微软雅黑" w:hint="eastAsia"/>
          <w:color w:val="000000"/>
          <w:sz w:val="22"/>
          <w:szCs w:val="22"/>
          <w:shd w:val="clear" w:color="auto" w:fill="FFFFFF"/>
        </w:rPr>
        <w:t>年</w:t>
      </w:r>
      <w:r>
        <w:rPr>
          <w:rFonts w:ascii="微软雅黑" w:eastAsia="微软雅黑" w:hAnsi="微软雅黑" w:cs="微软雅黑" w:hint="eastAsia"/>
          <w:color w:val="000000"/>
          <w:sz w:val="22"/>
          <w:szCs w:val="22"/>
          <w:shd w:val="clear" w:color="auto" w:fill="FFFFFF"/>
        </w:rPr>
        <w:t>6</w:t>
      </w:r>
      <w:r>
        <w:rPr>
          <w:rFonts w:ascii="微软雅黑" w:eastAsia="微软雅黑" w:hAnsi="微软雅黑" w:cs="微软雅黑" w:hint="eastAsia"/>
          <w:color w:val="000000"/>
          <w:sz w:val="22"/>
          <w:szCs w:val="22"/>
          <w:shd w:val="clear" w:color="auto" w:fill="FFFFFF"/>
        </w:rPr>
        <w:t>月</w:t>
      </w:r>
      <w:r>
        <w:rPr>
          <w:rFonts w:ascii="微软雅黑" w:eastAsia="微软雅黑" w:hAnsi="微软雅黑" w:cs="微软雅黑" w:hint="eastAsia"/>
          <w:color w:val="000000"/>
          <w:sz w:val="22"/>
          <w:szCs w:val="22"/>
          <w:shd w:val="clear" w:color="auto" w:fill="FFFFFF"/>
        </w:rPr>
        <w:t>26</w:t>
      </w:r>
      <w:r>
        <w:rPr>
          <w:rFonts w:ascii="微软雅黑" w:eastAsia="微软雅黑" w:hAnsi="微软雅黑" w:cs="微软雅黑" w:hint="eastAsia"/>
          <w:color w:val="000000"/>
          <w:sz w:val="22"/>
          <w:szCs w:val="22"/>
          <w:shd w:val="clear" w:color="auto" w:fill="FFFFFF"/>
        </w:rPr>
        <w:t>日</w:t>
      </w:r>
    </w:p>
    <w:p w:rsidR="00892C65" w:rsidRDefault="009603E4">
      <w:pPr>
        <w:pStyle w:val="a3"/>
        <w:widowControl/>
        <w:shd w:val="clear" w:color="auto" w:fill="FFFFFF"/>
        <w:spacing w:beforeAutospacing="0" w:afterAutospacing="0" w:line="460" w:lineRule="atLeast"/>
        <w:ind w:firstLine="442"/>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210" w:lineRule="atLeast"/>
        <w:ind w:firstLine="420"/>
        <w:jc w:val="both"/>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为更好地满足广大投资者的理财需求，经与</w:t>
      </w:r>
      <w:r>
        <w:rPr>
          <w:rFonts w:ascii="微软雅黑" w:eastAsia="微软雅黑" w:hAnsi="微软雅黑" w:cs="微软雅黑" w:hint="eastAsia"/>
          <w:color w:val="000000"/>
          <w:sz w:val="22"/>
          <w:szCs w:val="22"/>
          <w:shd w:val="clear" w:color="auto" w:fill="FFFFFF"/>
        </w:rPr>
        <w:t>上海利得基金销售有限公司</w:t>
      </w:r>
      <w:r>
        <w:rPr>
          <w:rFonts w:ascii="微软雅黑" w:eastAsia="微软雅黑" w:hAnsi="微软雅黑" w:cs="微软雅黑" w:hint="eastAsia"/>
          <w:color w:val="000000"/>
          <w:sz w:val="22"/>
          <w:szCs w:val="22"/>
          <w:shd w:val="clear" w:color="auto" w:fill="FFFFFF"/>
        </w:rPr>
        <w:t>（以下简</w:t>
      </w:r>
      <w:r>
        <w:rPr>
          <w:rFonts w:ascii="微软雅黑" w:eastAsia="微软雅黑" w:hAnsi="微软雅黑" w:cs="微软雅黑" w:hint="eastAsia"/>
          <w:color w:val="000000"/>
          <w:sz w:val="22"/>
          <w:szCs w:val="22"/>
          <w:shd w:val="clear" w:color="auto" w:fill="FFFFFF"/>
        </w:rPr>
        <w:t>称利得基金</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000000"/>
          <w:sz w:val="22"/>
          <w:szCs w:val="22"/>
          <w:shd w:val="clear" w:color="auto" w:fill="FFFFFF"/>
        </w:rPr>
        <w:t>）协商一致，新华基金管理股份有限公司（以下简称</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000000"/>
          <w:sz w:val="22"/>
          <w:szCs w:val="22"/>
          <w:shd w:val="clear" w:color="auto" w:fill="FFFFFF"/>
        </w:rPr>
        <w:t>本公司</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000000"/>
          <w:sz w:val="22"/>
          <w:szCs w:val="22"/>
          <w:shd w:val="clear" w:color="auto" w:fill="FFFFFF"/>
        </w:rPr>
        <w:t>）决定自</w:t>
      </w:r>
      <w:r>
        <w:rPr>
          <w:rFonts w:ascii="微软雅黑" w:eastAsia="微软雅黑" w:hAnsi="微软雅黑" w:cs="微软雅黑" w:hint="eastAsia"/>
          <w:color w:val="000000"/>
          <w:sz w:val="22"/>
          <w:szCs w:val="22"/>
          <w:shd w:val="clear" w:color="auto" w:fill="FFFFFF"/>
        </w:rPr>
        <w:t>2024</w:t>
      </w:r>
      <w:r>
        <w:rPr>
          <w:rFonts w:ascii="微软雅黑" w:eastAsia="微软雅黑" w:hAnsi="微软雅黑" w:cs="微软雅黑" w:hint="eastAsia"/>
          <w:color w:val="000000"/>
          <w:sz w:val="22"/>
          <w:szCs w:val="22"/>
          <w:shd w:val="clear" w:color="auto" w:fill="FFFFFF"/>
        </w:rPr>
        <w:t>年</w:t>
      </w:r>
      <w:r>
        <w:rPr>
          <w:rFonts w:ascii="微软雅黑" w:eastAsia="微软雅黑" w:hAnsi="微软雅黑" w:cs="微软雅黑" w:hint="eastAsia"/>
          <w:color w:val="000000"/>
          <w:sz w:val="22"/>
          <w:szCs w:val="22"/>
          <w:shd w:val="clear" w:color="auto" w:fill="FFFFFF"/>
        </w:rPr>
        <w:t>6</w:t>
      </w:r>
      <w:r>
        <w:rPr>
          <w:rFonts w:ascii="微软雅黑" w:eastAsia="微软雅黑" w:hAnsi="微软雅黑" w:cs="微软雅黑" w:hint="eastAsia"/>
          <w:color w:val="000000"/>
          <w:sz w:val="22"/>
          <w:szCs w:val="22"/>
          <w:shd w:val="clear" w:color="auto" w:fill="FFFFFF"/>
        </w:rPr>
        <w:t>月</w:t>
      </w:r>
      <w:r>
        <w:rPr>
          <w:rFonts w:ascii="微软雅黑" w:eastAsia="微软雅黑" w:hAnsi="微软雅黑" w:cs="微软雅黑" w:hint="eastAsia"/>
          <w:color w:val="000000"/>
          <w:sz w:val="22"/>
          <w:szCs w:val="22"/>
          <w:shd w:val="clear" w:color="auto" w:fill="FFFFFF"/>
        </w:rPr>
        <w:t>26</w:t>
      </w:r>
      <w:r>
        <w:rPr>
          <w:rFonts w:ascii="微软雅黑" w:eastAsia="微软雅黑" w:hAnsi="微软雅黑" w:cs="微软雅黑" w:hint="eastAsia"/>
          <w:color w:val="000000"/>
          <w:sz w:val="22"/>
          <w:szCs w:val="22"/>
          <w:shd w:val="clear" w:color="auto" w:fill="FFFFFF"/>
        </w:rPr>
        <w:t>日起，本公司新华利率债债券型证券投资基金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011039</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ab/>
      </w:r>
      <w:r>
        <w:rPr>
          <w:rFonts w:ascii="微软雅黑" w:eastAsia="微软雅黑" w:hAnsi="微软雅黑" w:cs="微软雅黑" w:hint="eastAsia"/>
          <w:color w:val="000000"/>
          <w:sz w:val="22"/>
          <w:szCs w:val="22"/>
          <w:shd w:val="clear" w:color="auto" w:fill="FFFFFF"/>
        </w:rPr>
        <w:t>新华安享惠金定期开放债券型证券投资基金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519161</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ab/>
      </w:r>
      <w:r>
        <w:rPr>
          <w:rFonts w:ascii="微软雅黑" w:eastAsia="微软雅黑" w:hAnsi="微软雅黑" w:cs="微软雅黑" w:hint="eastAsia"/>
          <w:color w:val="000000"/>
          <w:sz w:val="22"/>
          <w:szCs w:val="22"/>
          <w:shd w:val="clear" w:color="auto" w:fill="FFFFFF"/>
        </w:rPr>
        <w:t>新华增怡债券型证券投资基金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519163</w:t>
      </w:r>
      <w:r>
        <w:rPr>
          <w:rFonts w:ascii="微软雅黑" w:eastAsia="微软雅黑" w:hAnsi="微软雅黑" w:cs="微软雅黑" w:hint="eastAsia"/>
          <w:color w:val="000000"/>
          <w:sz w:val="22"/>
          <w:szCs w:val="22"/>
          <w:shd w:val="clear" w:color="auto" w:fill="FFFFFF"/>
        </w:rPr>
        <w:t>）、新华鼎利债券型证券投资基金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006892</w:t>
      </w:r>
      <w:r>
        <w:rPr>
          <w:rFonts w:ascii="微软雅黑" w:eastAsia="微软雅黑" w:hAnsi="微软雅黑" w:cs="微软雅黑" w:hint="eastAsia"/>
          <w:color w:val="000000"/>
          <w:sz w:val="22"/>
          <w:szCs w:val="22"/>
          <w:shd w:val="clear" w:color="auto" w:fill="FFFFFF"/>
        </w:rPr>
        <w:t>）、新华聚利债券型证券投资基金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006897</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ab/>
      </w:r>
      <w:r>
        <w:rPr>
          <w:rFonts w:ascii="微软雅黑" w:eastAsia="微软雅黑" w:hAnsi="微软雅黑" w:cs="微软雅黑" w:hint="eastAsia"/>
          <w:color w:val="000000"/>
          <w:sz w:val="22"/>
          <w:szCs w:val="22"/>
          <w:shd w:val="clear" w:color="auto" w:fill="FFFFFF"/>
        </w:rPr>
        <w:t>新华鑫日享中短债债券型证券投资基金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006895</w:t>
      </w:r>
      <w:r>
        <w:rPr>
          <w:rFonts w:ascii="微软雅黑" w:eastAsia="微软雅黑" w:hAnsi="微软雅黑" w:cs="微软雅黑" w:hint="eastAsia"/>
          <w:color w:val="000000"/>
          <w:sz w:val="22"/>
          <w:szCs w:val="22"/>
          <w:shd w:val="clear" w:color="auto" w:fill="FFFFFF"/>
        </w:rPr>
        <w:t>）、新华纯债添利债券型发起式证券投资基金</w:t>
      </w:r>
      <w:r>
        <w:rPr>
          <w:rFonts w:ascii="微软雅黑" w:eastAsia="微软雅黑" w:hAnsi="微软雅黑" w:cs="微软雅黑" w:hint="eastAsia"/>
          <w:color w:val="000000"/>
          <w:sz w:val="22"/>
          <w:szCs w:val="22"/>
          <w:shd w:val="clear" w:color="auto" w:fill="FFFFFF"/>
        </w:rPr>
        <w:t>C</w:t>
      </w:r>
      <w:r>
        <w:rPr>
          <w:rFonts w:ascii="微软雅黑" w:eastAsia="微软雅黑" w:hAnsi="微软雅黑" w:cs="微软雅黑" w:hint="eastAsia"/>
          <w:color w:val="000000"/>
          <w:sz w:val="22"/>
          <w:szCs w:val="22"/>
          <w:shd w:val="clear" w:color="auto" w:fill="FFFFFF"/>
        </w:rPr>
        <w:t>类基金份额（基金代码：</w:t>
      </w:r>
      <w:r>
        <w:rPr>
          <w:rFonts w:ascii="微软雅黑" w:eastAsia="微软雅黑" w:hAnsi="微软雅黑" w:cs="微软雅黑" w:hint="eastAsia"/>
          <w:color w:val="000000"/>
          <w:sz w:val="22"/>
          <w:szCs w:val="22"/>
          <w:shd w:val="clear" w:color="auto" w:fill="FFFFFF"/>
        </w:rPr>
        <w:t>519153</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在</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暂停销售，当前持有基金的赎回业务不受影响，新增</w:t>
      </w:r>
      <w:r>
        <w:rPr>
          <w:rFonts w:ascii="微软雅黑" w:eastAsia="微软雅黑" w:hAnsi="微软雅黑" w:cs="微软雅黑" w:hint="eastAsia"/>
          <w:color w:val="000000"/>
          <w:sz w:val="22"/>
          <w:szCs w:val="22"/>
          <w:shd w:val="clear" w:color="auto" w:fill="FFFFFF"/>
        </w:rPr>
        <w:t>以下基金并参加利得基金费率优惠活动</w:t>
      </w:r>
      <w:r>
        <w:rPr>
          <w:rFonts w:ascii="微软雅黑" w:eastAsia="微软雅黑" w:hAnsi="微软雅黑" w:cs="微软雅黑" w:hint="eastAsia"/>
          <w:color w:val="000000"/>
          <w:sz w:val="22"/>
          <w:szCs w:val="22"/>
          <w:shd w:val="clear" w:color="auto" w:fill="FFFFFF"/>
        </w:rPr>
        <w:t>。</w:t>
      </w:r>
    </w:p>
    <w:p w:rsidR="00892C65" w:rsidRDefault="009603E4">
      <w:pPr>
        <w:pStyle w:val="a3"/>
        <w:widowControl/>
        <w:shd w:val="clear" w:color="auto" w:fill="FFFFFF"/>
        <w:spacing w:beforeAutospacing="0" w:afterAutospacing="0" w:line="210" w:lineRule="atLeast"/>
        <w:ind w:firstLine="420"/>
        <w:jc w:val="both"/>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现将有关事项公告如下：</w:t>
      </w:r>
    </w:p>
    <w:p w:rsidR="00892C65" w:rsidRDefault="009603E4">
      <w:pPr>
        <w:pStyle w:val="a3"/>
        <w:widowControl/>
        <w:shd w:val="clear" w:color="auto" w:fill="FFFFFF"/>
        <w:spacing w:beforeAutospacing="0" w:afterAutospacing="0" w:line="460" w:lineRule="atLeast"/>
        <w:ind w:firstLine="442"/>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一、适用基金及业务范围</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54"/>
        <w:gridCol w:w="1200"/>
        <w:gridCol w:w="3699"/>
        <w:gridCol w:w="1060"/>
        <w:gridCol w:w="1059"/>
        <w:gridCol w:w="1025"/>
      </w:tblGrid>
      <w:tr w:rsidR="00892C65">
        <w:trPr>
          <w:trHeight w:val="1857"/>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序号</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基金代码</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基金全称</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申购赎回业务</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定期定额投资</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转换业务</w:t>
            </w:r>
          </w:p>
        </w:tc>
      </w:tr>
      <w:tr w:rsidR="00892C65">
        <w:trPr>
          <w:trHeight w:val="71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1</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016295</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Calibri" w:eastAsia="微软雅黑" w:hAnsi="Calibri" w:cs="Calibri"/>
                <w:color w:val="333333"/>
                <w:sz w:val="21"/>
                <w:szCs w:val="21"/>
              </w:rPr>
            </w:pPr>
            <w:r>
              <w:rPr>
                <w:rFonts w:ascii="微软雅黑" w:eastAsia="微软雅黑" w:hAnsi="微软雅黑" w:cs="微软雅黑" w:hint="eastAsia"/>
                <w:color w:val="000000"/>
                <w:sz w:val="22"/>
                <w:szCs w:val="22"/>
              </w:rPr>
              <w:t>新华利率债债券型证券投资基金</w:t>
            </w:r>
            <w:r>
              <w:rPr>
                <w:rFonts w:ascii="微软雅黑" w:eastAsia="微软雅黑" w:hAnsi="微软雅黑" w:cs="微软雅黑" w:hint="eastAsia"/>
                <w:color w:val="000000"/>
                <w:sz w:val="22"/>
                <w:szCs w:val="22"/>
              </w:rPr>
              <w:t>E</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Calibri" w:hAnsi="Calibri" w:cs="Calibri"/>
                <w:color w:val="333333"/>
                <w:sz w:val="21"/>
                <w:szCs w:val="21"/>
              </w:rPr>
            </w:pPr>
            <w:r>
              <w:rPr>
                <w:rFonts w:ascii="微软雅黑" w:eastAsia="微软雅黑" w:hAnsi="微软雅黑" w:cs="微软雅黑" w:hint="eastAsia"/>
                <w:color w:val="000000"/>
                <w:sz w:val="22"/>
                <w:szCs w:val="22"/>
              </w:rPr>
              <w:t>开通</w:t>
            </w:r>
          </w:p>
        </w:tc>
      </w:tr>
      <w:tr w:rsidR="00892C65">
        <w:trPr>
          <w:trHeight w:val="55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2</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021467</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新华安享惠金定期开放债券型证券投资基金</w:t>
            </w:r>
            <w:r>
              <w:rPr>
                <w:rFonts w:ascii="微软雅黑" w:eastAsia="微软雅黑" w:hAnsi="微软雅黑" w:cs="微软雅黑" w:hint="eastAsia"/>
                <w:color w:val="000000"/>
                <w:sz w:val="22"/>
                <w:szCs w:val="22"/>
              </w:rPr>
              <w:t>E</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r>
      <w:tr w:rsidR="00892C65">
        <w:trPr>
          <w:trHeight w:val="55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lastRenderedPageBreak/>
              <w:t>6</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013720</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新华增怡债券型证券投资基金</w:t>
            </w:r>
            <w:r>
              <w:rPr>
                <w:rFonts w:ascii="微软雅黑" w:eastAsia="微软雅黑" w:hAnsi="微软雅黑" w:cs="微软雅黑" w:hint="eastAsia"/>
                <w:color w:val="000000"/>
                <w:sz w:val="22"/>
                <w:szCs w:val="22"/>
              </w:rPr>
              <w:t>E</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r>
      <w:tr w:rsidR="00892C65">
        <w:trPr>
          <w:trHeight w:val="55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4</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014265</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新华鼎利债券型证券投资基金</w:t>
            </w:r>
            <w:r>
              <w:rPr>
                <w:rFonts w:ascii="微软雅黑" w:eastAsia="微软雅黑" w:hAnsi="微软雅黑" w:cs="微软雅黑" w:hint="eastAsia"/>
                <w:color w:val="000000"/>
                <w:sz w:val="22"/>
                <w:szCs w:val="22"/>
              </w:rPr>
              <w:t>E</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r>
      <w:tr w:rsidR="00892C65">
        <w:trPr>
          <w:trHeight w:val="55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5</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017044</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新华聚利债券型证券投资基金</w:t>
            </w:r>
            <w:r>
              <w:rPr>
                <w:rFonts w:ascii="微软雅黑" w:eastAsia="微软雅黑" w:hAnsi="微软雅黑" w:cs="微软雅黑" w:hint="eastAsia"/>
                <w:color w:val="000000"/>
                <w:sz w:val="22"/>
                <w:szCs w:val="22"/>
              </w:rPr>
              <w:t>E</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r>
      <w:tr w:rsidR="00892C65">
        <w:trPr>
          <w:trHeight w:val="55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6</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007912</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新华鑫日享中短债债券型证券投资基金</w:t>
            </w:r>
            <w:r>
              <w:rPr>
                <w:rFonts w:ascii="微软雅黑" w:eastAsia="微软雅黑" w:hAnsi="微软雅黑" w:cs="微软雅黑" w:hint="eastAsia"/>
                <w:color w:val="000000"/>
                <w:sz w:val="22"/>
                <w:szCs w:val="22"/>
              </w:rPr>
              <w:t>B</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r>
      <w:tr w:rsidR="00892C65">
        <w:trPr>
          <w:trHeight w:val="559"/>
          <w:jc w:val="center"/>
        </w:trPr>
        <w:tc>
          <w:tcPr>
            <w:tcW w:w="754"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7</w:t>
            </w:r>
          </w:p>
        </w:tc>
        <w:tc>
          <w:tcPr>
            <w:tcW w:w="120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009104</w:t>
            </w:r>
          </w:p>
        </w:tc>
        <w:tc>
          <w:tcPr>
            <w:tcW w:w="369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both"/>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新华纯债添利债券型发起式证券投资基金</w:t>
            </w:r>
            <w:r>
              <w:rPr>
                <w:rFonts w:ascii="微软雅黑" w:eastAsia="微软雅黑" w:hAnsi="微软雅黑" w:cs="微软雅黑" w:hint="eastAsia"/>
                <w:color w:val="000000"/>
                <w:sz w:val="22"/>
                <w:szCs w:val="22"/>
              </w:rPr>
              <w:t>B</w:t>
            </w:r>
          </w:p>
        </w:tc>
        <w:tc>
          <w:tcPr>
            <w:tcW w:w="1060"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59"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c>
          <w:tcPr>
            <w:tcW w:w="1025" w:type="dxa"/>
            <w:shd w:val="clear" w:color="auto" w:fill="FFFFFF"/>
            <w:tcMar>
              <w:left w:w="108" w:type="dxa"/>
              <w:right w:w="108" w:type="dxa"/>
            </w:tcMar>
            <w:vAlign w:val="center"/>
          </w:tcPr>
          <w:p w:rsidR="00892C65" w:rsidRDefault="009603E4">
            <w:pPr>
              <w:pStyle w:val="a3"/>
              <w:widowControl/>
              <w:spacing w:beforeAutospacing="0" w:afterAutospacing="0" w:line="510" w:lineRule="atLeast"/>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开通</w:t>
            </w:r>
          </w:p>
        </w:tc>
      </w:tr>
    </w:tbl>
    <w:p w:rsidR="00892C65" w:rsidRDefault="009603E4">
      <w:pPr>
        <w:pStyle w:val="a3"/>
        <w:widowControl/>
        <w:shd w:val="clear" w:color="auto" w:fill="FFFFFF"/>
        <w:spacing w:beforeAutospacing="0" w:afterAutospacing="0" w:line="210" w:lineRule="atLeast"/>
        <w:ind w:firstLine="420"/>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二、开通定期定额投资业务</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“定期定额投资”（以下简称“定投”）是基金申购的一种业务方式，指在一定的投资期间内投资者在固定时间、以固定金额定期申购基金。</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接受投资者的基金定投业务申请后，根据投资者指定的日期从投资者签约的资金账户内自动扣划约定的款项用以申购基金。投资者在开办上述基金定投业务的同时，仍然可以进行上述基金的日常申购、赎回业务。</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1.</w:t>
      </w:r>
      <w:r>
        <w:rPr>
          <w:rFonts w:ascii="微软雅黑" w:eastAsia="微软雅黑" w:hAnsi="微软雅黑" w:cs="微软雅黑" w:hint="eastAsia"/>
          <w:b/>
          <w:bCs/>
          <w:color w:val="000000"/>
          <w:sz w:val="22"/>
          <w:szCs w:val="22"/>
          <w:shd w:val="clear" w:color="auto" w:fill="FFFFFF"/>
        </w:rPr>
        <w:t>定投业务的办理时间</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定投业务申请办理时间为该基金开放日的开放时间，具体办理时间详见</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的公告。</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2.</w:t>
      </w:r>
      <w:r>
        <w:rPr>
          <w:rFonts w:ascii="微软雅黑" w:eastAsia="微软雅黑" w:hAnsi="微软雅黑" w:cs="微软雅黑" w:hint="eastAsia"/>
          <w:b/>
          <w:bCs/>
          <w:color w:val="000000"/>
          <w:sz w:val="22"/>
          <w:szCs w:val="22"/>
          <w:shd w:val="clear" w:color="auto" w:fill="FFFFFF"/>
        </w:rPr>
        <w:t>适用投资者范围</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定投业务适用于依据我国有关法律法规的规定和本基金的基金合同的约定可以投资证券投资基金的投资者。</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3.</w:t>
      </w:r>
      <w:r>
        <w:rPr>
          <w:rFonts w:ascii="微软雅黑" w:eastAsia="微软雅黑" w:hAnsi="微软雅黑" w:cs="微软雅黑" w:hint="eastAsia"/>
          <w:b/>
          <w:bCs/>
          <w:color w:val="000000"/>
          <w:sz w:val="22"/>
          <w:szCs w:val="22"/>
          <w:shd w:val="clear" w:color="auto" w:fill="FFFFFF"/>
        </w:rPr>
        <w:t>申请方式</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lastRenderedPageBreak/>
        <w:t>3.1</w:t>
      </w:r>
      <w:r>
        <w:rPr>
          <w:rFonts w:ascii="微软雅黑" w:eastAsia="微软雅黑" w:hAnsi="微软雅黑" w:cs="微软雅黑" w:hint="eastAsia"/>
          <w:color w:val="000000"/>
          <w:sz w:val="22"/>
          <w:szCs w:val="22"/>
          <w:shd w:val="clear" w:color="auto" w:fill="FFFFFF"/>
        </w:rPr>
        <w:t>、凡申请办理定投业务的投资者，须先开立本公司开放式基金账户（已开户者除外），具体开户程序请遵循</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的规定。</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3.2</w:t>
      </w:r>
      <w:r>
        <w:rPr>
          <w:rFonts w:ascii="微软雅黑" w:eastAsia="微软雅黑" w:hAnsi="微软雅黑" w:cs="微软雅黑" w:hint="eastAsia"/>
          <w:color w:val="000000"/>
          <w:sz w:val="22"/>
          <w:szCs w:val="22"/>
          <w:shd w:val="clear" w:color="auto" w:fill="FFFFFF"/>
        </w:rPr>
        <w:t>、已开立本公司开放式基金账户的投资者，具体办理程序请遵循</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的规定。</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4</w:t>
      </w:r>
      <w:r>
        <w:rPr>
          <w:rFonts w:ascii="微软雅黑" w:eastAsia="微软雅黑" w:hAnsi="微软雅黑" w:cs="微软雅黑" w:hint="eastAsia"/>
          <w:b/>
          <w:bCs/>
          <w:color w:val="000000"/>
          <w:sz w:val="22"/>
          <w:szCs w:val="22"/>
          <w:shd w:val="clear" w:color="auto" w:fill="FFFFFF"/>
        </w:rPr>
        <w:t>、申购日期</w:t>
      </w:r>
    </w:p>
    <w:p w:rsidR="00892C65" w:rsidRDefault="009603E4">
      <w:pPr>
        <w:pStyle w:val="a3"/>
        <w:widowControl/>
        <w:shd w:val="clear" w:color="auto" w:fill="FFFFFF"/>
        <w:spacing w:beforeAutospacing="0" w:afterAutospacing="0" w:line="210" w:lineRule="atLeast"/>
        <w:ind w:firstLine="440"/>
        <w:rPr>
          <w:rFonts w:ascii="微软雅黑" w:eastAsia="微软雅黑" w:hAnsi="微软雅黑" w:cs="微软雅黑"/>
          <w:color w:val="000000"/>
          <w:sz w:val="22"/>
          <w:szCs w:val="22"/>
          <w:shd w:val="clear" w:color="auto" w:fill="FFFFFF"/>
        </w:rPr>
      </w:pPr>
      <w:r>
        <w:rPr>
          <w:rFonts w:ascii="微软雅黑" w:eastAsia="微软雅黑" w:hAnsi="微软雅黑" w:cs="微软雅黑" w:hint="eastAsia"/>
          <w:color w:val="000000"/>
          <w:sz w:val="22"/>
          <w:szCs w:val="22"/>
          <w:shd w:val="clear" w:color="auto" w:fill="FFFFFF"/>
        </w:rPr>
        <w:t>4.1</w:t>
      </w:r>
      <w:r>
        <w:rPr>
          <w:rFonts w:ascii="微软雅黑" w:eastAsia="微软雅黑" w:hAnsi="微软雅黑" w:cs="微软雅黑" w:hint="eastAsia"/>
          <w:color w:val="000000"/>
          <w:sz w:val="22"/>
          <w:szCs w:val="22"/>
          <w:shd w:val="clear" w:color="auto" w:fill="FFFFFF"/>
        </w:rPr>
        <w:t>、投资者应遵循</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的规定与其约定每期扣款日期，该扣款日期视同为基金合同中约定的申购申请日（</w:t>
      </w:r>
      <w:r>
        <w:rPr>
          <w:rFonts w:ascii="微软雅黑" w:eastAsia="微软雅黑" w:hAnsi="微软雅黑" w:cs="微软雅黑" w:hint="eastAsia"/>
          <w:color w:val="000000"/>
          <w:sz w:val="22"/>
          <w:szCs w:val="22"/>
          <w:shd w:val="clear" w:color="auto" w:fill="FFFFFF"/>
        </w:rPr>
        <w:t>T</w:t>
      </w:r>
      <w:r>
        <w:rPr>
          <w:rFonts w:ascii="微软雅黑" w:eastAsia="微软雅黑" w:hAnsi="微软雅黑" w:cs="微软雅黑" w:hint="eastAsia"/>
          <w:color w:val="000000"/>
          <w:sz w:val="22"/>
          <w:szCs w:val="22"/>
          <w:shd w:val="clear" w:color="auto" w:fill="FFFFFF"/>
        </w:rPr>
        <w:t>日）；</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4.2</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将按照投资者申请时所约定的每期约定扣款日、扣款金额进行扣款。若遇非基金开放日则顺延到下一基金开放日，并以该日为基金申购申请日。</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5</w:t>
      </w:r>
      <w:r>
        <w:rPr>
          <w:rFonts w:ascii="微软雅黑" w:eastAsia="微软雅黑" w:hAnsi="微软雅黑" w:cs="微软雅黑" w:hint="eastAsia"/>
          <w:b/>
          <w:bCs/>
          <w:color w:val="000000"/>
          <w:sz w:val="22"/>
          <w:szCs w:val="22"/>
          <w:shd w:val="clear" w:color="auto" w:fill="FFFFFF"/>
        </w:rPr>
        <w:t>、定投业务起点</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通过</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办理本基金定投业务，每期最低申购额均为</w:t>
      </w:r>
      <w:r>
        <w:rPr>
          <w:rFonts w:ascii="微软雅黑" w:eastAsia="微软雅黑" w:hAnsi="微软雅黑" w:cs="微软雅黑" w:hint="eastAsia"/>
          <w:color w:val="000000"/>
          <w:sz w:val="22"/>
          <w:szCs w:val="22"/>
          <w:shd w:val="clear" w:color="auto" w:fill="FFFFFF"/>
        </w:rPr>
        <w:t>1</w:t>
      </w:r>
      <w:r>
        <w:rPr>
          <w:rFonts w:ascii="微软雅黑" w:eastAsia="微软雅黑" w:hAnsi="微软雅黑" w:cs="微软雅黑" w:hint="eastAsia"/>
          <w:color w:val="000000"/>
          <w:sz w:val="22"/>
          <w:szCs w:val="22"/>
          <w:shd w:val="clear" w:color="auto" w:fill="FFFFFF"/>
        </w:rPr>
        <w:t>元人民币。定投业务不受日常申购的最低数额限制与最高数额限制。</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6</w:t>
      </w:r>
      <w:r>
        <w:rPr>
          <w:rFonts w:ascii="微软雅黑" w:eastAsia="微软雅黑" w:hAnsi="微软雅黑" w:cs="微软雅黑" w:hint="eastAsia"/>
          <w:b/>
          <w:bCs/>
          <w:color w:val="000000"/>
          <w:sz w:val="22"/>
          <w:szCs w:val="22"/>
          <w:shd w:val="clear" w:color="auto" w:fill="FFFFFF"/>
        </w:rPr>
        <w:t>、交易确认</w:t>
      </w:r>
    </w:p>
    <w:p w:rsidR="00892C65" w:rsidRDefault="009603E4">
      <w:pPr>
        <w:pStyle w:val="a3"/>
        <w:widowControl/>
        <w:shd w:val="clear" w:color="auto" w:fill="FFFFFF"/>
        <w:spacing w:beforeAutospacing="0" w:afterAutospacing="0" w:line="210" w:lineRule="atLeast"/>
        <w:ind w:firstLine="440"/>
        <w:rPr>
          <w:rFonts w:ascii="微软雅黑" w:eastAsia="微软雅黑" w:hAnsi="微软雅黑" w:cs="微软雅黑"/>
          <w:color w:val="000000"/>
          <w:sz w:val="22"/>
          <w:szCs w:val="22"/>
          <w:shd w:val="clear" w:color="auto" w:fill="FFFFFF"/>
        </w:rPr>
      </w:pPr>
      <w:r>
        <w:rPr>
          <w:rFonts w:ascii="微软雅黑" w:eastAsia="微软雅黑" w:hAnsi="微软雅黑" w:cs="微软雅黑" w:hint="eastAsia"/>
          <w:color w:val="000000"/>
          <w:sz w:val="22"/>
          <w:szCs w:val="22"/>
          <w:shd w:val="clear" w:color="auto" w:fill="FFFFFF"/>
        </w:rPr>
        <w:t>6.1</w:t>
      </w:r>
      <w:r>
        <w:rPr>
          <w:rFonts w:ascii="微软雅黑" w:eastAsia="微软雅黑" w:hAnsi="微软雅黑" w:cs="微软雅黑" w:hint="eastAsia"/>
          <w:color w:val="000000"/>
          <w:sz w:val="22"/>
          <w:szCs w:val="22"/>
          <w:shd w:val="clear" w:color="auto" w:fill="FFFFFF"/>
        </w:rPr>
        <w:t>、以每期实际扣款日（</w:t>
      </w:r>
      <w:r>
        <w:rPr>
          <w:rFonts w:ascii="微软雅黑" w:eastAsia="微软雅黑" w:hAnsi="微软雅黑" w:cs="微软雅黑" w:hint="eastAsia"/>
          <w:color w:val="000000"/>
          <w:sz w:val="22"/>
          <w:szCs w:val="22"/>
          <w:shd w:val="clear" w:color="auto" w:fill="FFFFFF"/>
        </w:rPr>
        <w:t>T</w:t>
      </w:r>
      <w:r>
        <w:rPr>
          <w:rFonts w:ascii="微软雅黑" w:eastAsia="微软雅黑" w:hAnsi="微软雅黑" w:cs="微软雅黑" w:hint="eastAsia"/>
          <w:color w:val="000000"/>
          <w:sz w:val="22"/>
          <w:szCs w:val="22"/>
          <w:shd w:val="clear" w:color="auto" w:fill="FFFFFF"/>
        </w:rPr>
        <w:t>日）的基金份额净值为基准计算申购份额。基金份额确认日为</w:t>
      </w:r>
      <w:r>
        <w:rPr>
          <w:rFonts w:ascii="微软雅黑" w:eastAsia="微软雅黑" w:hAnsi="微软雅黑" w:cs="微软雅黑" w:hint="eastAsia"/>
          <w:color w:val="000000"/>
          <w:sz w:val="22"/>
          <w:szCs w:val="22"/>
          <w:shd w:val="clear" w:color="auto" w:fill="FFFFFF"/>
        </w:rPr>
        <w:t>T</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1</w:t>
      </w:r>
      <w:r>
        <w:rPr>
          <w:rFonts w:ascii="微软雅黑" w:eastAsia="微软雅黑" w:hAnsi="微软雅黑" w:cs="微软雅黑" w:hint="eastAsia"/>
          <w:color w:val="000000"/>
          <w:sz w:val="22"/>
          <w:szCs w:val="22"/>
          <w:shd w:val="clear" w:color="auto" w:fill="FFFFFF"/>
        </w:rPr>
        <w:t>日，投资者可在</w:t>
      </w:r>
      <w:r>
        <w:rPr>
          <w:rFonts w:ascii="微软雅黑" w:eastAsia="微软雅黑" w:hAnsi="微软雅黑" w:cs="微软雅黑" w:hint="eastAsia"/>
          <w:color w:val="000000"/>
          <w:sz w:val="22"/>
          <w:szCs w:val="22"/>
          <w:shd w:val="clear" w:color="auto" w:fill="FFFFFF"/>
        </w:rPr>
        <w:t>T</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2</w:t>
      </w:r>
      <w:r>
        <w:rPr>
          <w:rFonts w:ascii="微软雅黑" w:eastAsia="微软雅黑" w:hAnsi="微软雅黑" w:cs="微软雅黑" w:hint="eastAsia"/>
          <w:color w:val="000000"/>
          <w:sz w:val="22"/>
          <w:szCs w:val="22"/>
          <w:shd w:val="clear" w:color="auto" w:fill="FFFFFF"/>
        </w:rPr>
        <w:t>日查询相应基金申购确认情况。</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6.2</w:t>
      </w:r>
      <w:r>
        <w:rPr>
          <w:rFonts w:ascii="微软雅黑" w:eastAsia="微软雅黑" w:hAnsi="微软雅黑" w:cs="微软雅黑" w:hint="eastAsia"/>
          <w:color w:val="000000"/>
          <w:sz w:val="22"/>
          <w:szCs w:val="22"/>
          <w:shd w:val="clear" w:color="auto" w:fill="FFFFFF"/>
        </w:rPr>
        <w:t>、当发生限制申购或暂停申购的情形时，如无另行公告，定投业务也将做暂停处理。</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7</w:t>
      </w:r>
      <w:r>
        <w:rPr>
          <w:rFonts w:ascii="微软雅黑" w:eastAsia="微软雅黑" w:hAnsi="微软雅黑" w:cs="微软雅黑" w:hint="eastAsia"/>
          <w:b/>
          <w:bCs/>
          <w:color w:val="000000"/>
          <w:sz w:val="22"/>
          <w:szCs w:val="22"/>
          <w:shd w:val="clear" w:color="auto" w:fill="FFFFFF"/>
        </w:rPr>
        <w:t>、</w:t>
      </w:r>
      <w:r>
        <w:rPr>
          <w:rFonts w:ascii="微软雅黑" w:eastAsia="微软雅黑" w:hAnsi="微软雅黑" w:cs="微软雅黑" w:hint="eastAsia"/>
          <w:b/>
          <w:bCs/>
          <w:color w:val="333333"/>
          <w:sz w:val="14"/>
          <w:szCs w:val="14"/>
          <w:shd w:val="clear" w:color="auto" w:fill="FFFFFF"/>
        </w:rPr>
        <w:t>"</w:t>
      </w:r>
      <w:r>
        <w:rPr>
          <w:rFonts w:ascii="微软雅黑" w:eastAsia="微软雅黑" w:hAnsi="微软雅黑" w:cs="微软雅黑" w:hint="eastAsia"/>
          <w:b/>
          <w:bCs/>
          <w:color w:val="000000"/>
          <w:sz w:val="22"/>
          <w:szCs w:val="22"/>
          <w:shd w:val="clear" w:color="auto" w:fill="FFFFFF"/>
        </w:rPr>
        <w:t>定投业务</w:t>
      </w:r>
      <w:r>
        <w:rPr>
          <w:rFonts w:ascii="微软雅黑" w:eastAsia="微软雅黑" w:hAnsi="微软雅黑" w:cs="微软雅黑" w:hint="eastAsia"/>
          <w:b/>
          <w:bCs/>
          <w:color w:val="333333"/>
          <w:sz w:val="14"/>
          <w:szCs w:val="14"/>
          <w:shd w:val="clear" w:color="auto" w:fill="FFFFFF"/>
        </w:rPr>
        <w:t>"</w:t>
      </w:r>
      <w:r>
        <w:rPr>
          <w:rFonts w:ascii="微软雅黑" w:eastAsia="微软雅黑" w:hAnsi="微软雅黑" w:cs="微软雅黑" w:hint="eastAsia"/>
          <w:b/>
          <w:bCs/>
          <w:color w:val="000000"/>
          <w:sz w:val="22"/>
          <w:szCs w:val="22"/>
          <w:shd w:val="clear" w:color="auto" w:fill="FFFFFF"/>
        </w:rPr>
        <w:t>的</w:t>
      </w:r>
      <w:r>
        <w:rPr>
          <w:rFonts w:ascii="微软雅黑" w:eastAsia="微软雅黑" w:hAnsi="微软雅黑" w:cs="微软雅黑" w:hint="eastAsia"/>
          <w:b/>
          <w:bCs/>
          <w:color w:val="000000"/>
          <w:sz w:val="22"/>
          <w:szCs w:val="22"/>
          <w:shd w:val="clear" w:color="auto" w:fill="FFFFFF"/>
        </w:rPr>
        <w:t>变更和终止</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投资者办理变更每期投资金额、申购日期、签约账户等事项，或者终止定投业务时，具体办理程序请遵循</w:t>
      </w:r>
      <w:r>
        <w:rPr>
          <w:rFonts w:ascii="微软雅黑" w:eastAsia="微软雅黑" w:hAnsi="微软雅黑" w:cs="微软雅黑" w:hint="eastAsia"/>
          <w:color w:val="000000"/>
          <w:sz w:val="22"/>
          <w:szCs w:val="22"/>
          <w:shd w:val="clear" w:color="auto" w:fill="FFFFFF"/>
        </w:rPr>
        <w:t>利得基金</w:t>
      </w:r>
      <w:r>
        <w:rPr>
          <w:rFonts w:ascii="微软雅黑" w:eastAsia="微软雅黑" w:hAnsi="微软雅黑" w:cs="微软雅黑" w:hint="eastAsia"/>
          <w:color w:val="000000"/>
          <w:sz w:val="22"/>
          <w:szCs w:val="22"/>
          <w:shd w:val="clear" w:color="auto" w:fill="FFFFFF"/>
        </w:rPr>
        <w:t>的有关规定。</w:t>
      </w:r>
    </w:p>
    <w:p w:rsidR="00892C65" w:rsidRDefault="009603E4">
      <w:pPr>
        <w:pStyle w:val="a3"/>
        <w:widowControl/>
        <w:shd w:val="clear" w:color="auto" w:fill="FFFFFF"/>
        <w:spacing w:beforeAutospacing="0" w:afterAutospacing="0" w:line="210" w:lineRule="atLeast"/>
        <w:ind w:firstLine="440"/>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三、基金转换业务</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基金转换是指开放式基金份额持有人将其持有某只基金的部分或全部份额转换为同一基金管理人管理的另一只开放式基金的份额。</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（二）基金转换费用</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、每笔基金转换视为转出基金的一笔基金赎回和转入基金的一笔基金申购。基金转换费用由转出基金的赎回费用及转入基金的申购补差费用构成。</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、转入基金时</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从申购费用低的基金向申购费用高的基金转换时</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每次收取转入基金申购补差费用；从申购费用高的基金向申购费用低的基金转换时</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不收取申购补差费用。转入基金的申购补差费用按照转换金额对应的转出基金与转入基金的申购费率差额进行补差。</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3</w:t>
      </w:r>
      <w:r>
        <w:rPr>
          <w:rFonts w:ascii="微软雅黑" w:eastAsia="微软雅黑" w:hAnsi="微软雅黑" w:cs="微软雅黑" w:hint="eastAsia"/>
          <w:color w:val="333333"/>
          <w:sz w:val="22"/>
          <w:szCs w:val="22"/>
          <w:shd w:val="clear" w:color="auto" w:fill="FFFFFF"/>
        </w:rPr>
        <w:t>、转出基金时</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如涉及的转出基金有赎回费用</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收取该基金的赎回费用。收取的赎回费用不低于</w:t>
      </w:r>
      <w:r>
        <w:rPr>
          <w:rFonts w:ascii="微软雅黑" w:eastAsia="微软雅黑" w:hAnsi="微软雅黑" w:cs="微软雅黑" w:hint="eastAsia"/>
          <w:color w:val="333333"/>
          <w:sz w:val="14"/>
          <w:szCs w:val="14"/>
          <w:shd w:val="clear" w:color="auto" w:fill="FFFFFF"/>
        </w:rPr>
        <w:t>25%</w:t>
      </w:r>
      <w:r>
        <w:rPr>
          <w:rFonts w:ascii="微软雅黑" w:eastAsia="微软雅黑" w:hAnsi="微软雅黑" w:cs="微软雅黑" w:hint="eastAsia"/>
          <w:color w:val="333333"/>
          <w:sz w:val="22"/>
          <w:szCs w:val="22"/>
          <w:shd w:val="clear" w:color="auto" w:fill="FFFFFF"/>
        </w:rPr>
        <w:t>的部分归入基金财产，其余部分用于支付注册登记费等相</w:t>
      </w:r>
      <w:r>
        <w:rPr>
          <w:rFonts w:ascii="微软雅黑" w:eastAsia="微软雅黑" w:hAnsi="微软雅黑" w:cs="微软雅黑" w:hint="eastAsia"/>
          <w:color w:val="333333"/>
          <w:sz w:val="22"/>
          <w:szCs w:val="22"/>
          <w:shd w:val="clear" w:color="auto" w:fill="FFFFFF"/>
        </w:rPr>
        <w:t>关手续费。</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4</w:t>
      </w:r>
      <w:r>
        <w:rPr>
          <w:rFonts w:ascii="微软雅黑" w:eastAsia="微软雅黑" w:hAnsi="微软雅黑" w:cs="微软雅黑" w:hint="eastAsia"/>
          <w:color w:val="333333"/>
          <w:sz w:val="22"/>
          <w:szCs w:val="22"/>
          <w:shd w:val="clear" w:color="auto" w:fill="FFFFFF"/>
        </w:rPr>
        <w:t>、投资者可以发起多次基金转换业务，基金转换费用按每笔申请单独计算。</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5</w:t>
      </w:r>
      <w:r>
        <w:rPr>
          <w:rFonts w:ascii="微软雅黑" w:eastAsia="微软雅黑" w:hAnsi="微软雅黑" w:cs="微软雅黑" w:hint="eastAsia"/>
          <w:color w:val="333333"/>
          <w:sz w:val="22"/>
          <w:szCs w:val="22"/>
          <w:shd w:val="clear" w:color="auto" w:fill="FFFFFF"/>
        </w:rPr>
        <w:t>、转换费用以人民币元为单位，计算结果按照截位法，保留小数点后两位。</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6</w:t>
      </w:r>
      <w:r>
        <w:rPr>
          <w:rFonts w:ascii="微软雅黑" w:eastAsia="微软雅黑" w:hAnsi="微软雅黑" w:cs="微软雅黑" w:hint="eastAsia"/>
          <w:color w:val="333333"/>
          <w:sz w:val="22"/>
          <w:szCs w:val="22"/>
          <w:shd w:val="clear" w:color="auto" w:fill="FFFFFF"/>
        </w:rPr>
        <w:t>、转换份额的计算步骤及计算公式：</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第一步：计算转出金额</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333333"/>
          <w:sz w:val="22"/>
          <w:szCs w:val="22"/>
          <w:shd w:val="clear" w:color="auto" w:fill="FFFFFF"/>
        </w:rPr>
      </w:pP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非货币基金转换至货币基金</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333333"/>
          <w:sz w:val="22"/>
          <w:szCs w:val="22"/>
          <w:shd w:val="clear" w:color="auto" w:fill="FFFFFF"/>
        </w:rPr>
      </w:pPr>
      <w:r>
        <w:rPr>
          <w:rFonts w:ascii="微软雅黑" w:eastAsia="微软雅黑" w:hAnsi="微软雅黑" w:cs="微软雅黑" w:hint="eastAsia"/>
          <w:color w:val="333333"/>
          <w:sz w:val="22"/>
          <w:szCs w:val="22"/>
          <w:shd w:val="clear" w:color="auto" w:fill="FFFFFF"/>
        </w:rPr>
        <w:t>转出金额</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转出基金份额×转出基金当日基金份额净值</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货币基金转换至非货币基金</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转出金额</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转出基金份额</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转出基金当日基金份额净值＋货币市场基金应转出的累计未付收益</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第二步：计算转换费用</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转换费用＝赎回费用＋补差费用</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赎回费用＝转出金额</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赎回费率</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补差费用：分别以下两种情况计算</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转入基金的申购费率</w:t>
      </w:r>
      <w:r>
        <w:rPr>
          <w:rFonts w:ascii="微软雅黑" w:eastAsia="微软雅黑" w:hAnsi="微软雅黑" w:cs="微软雅黑" w:hint="eastAsia"/>
          <w:color w:val="333333"/>
          <w:sz w:val="14"/>
          <w:szCs w:val="14"/>
          <w:shd w:val="clear" w:color="auto" w:fill="FFFFFF"/>
        </w:rPr>
        <w:t>&gt;</w:t>
      </w:r>
      <w:r>
        <w:rPr>
          <w:rFonts w:ascii="微软雅黑" w:eastAsia="微软雅黑" w:hAnsi="微软雅黑" w:cs="微软雅黑" w:hint="eastAsia"/>
          <w:color w:val="333333"/>
          <w:sz w:val="22"/>
          <w:szCs w:val="22"/>
          <w:shd w:val="clear" w:color="auto" w:fill="FFFFFF"/>
        </w:rPr>
        <w:t>转出基金的申购费率</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333333"/>
          <w:sz w:val="22"/>
          <w:szCs w:val="22"/>
          <w:shd w:val="clear" w:color="auto" w:fill="FFFFFF"/>
        </w:rPr>
      </w:pPr>
      <w:r>
        <w:rPr>
          <w:rFonts w:ascii="微软雅黑" w:eastAsia="微软雅黑" w:hAnsi="微软雅黑" w:cs="微软雅黑" w:hint="eastAsia"/>
          <w:color w:val="333333"/>
          <w:sz w:val="22"/>
          <w:szCs w:val="22"/>
          <w:shd w:val="clear" w:color="auto" w:fill="FFFFFF"/>
        </w:rPr>
        <w:t>补差费用＝（转出金额－赎回费用）×（转入基金申购费率－转出基金申购费率）／【</w:t>
      </w: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＋（转入基金申购费率－转出基金申购费率）】</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333333"/>
          <w:sz w:val="22"/>
          <w:szCs w:val="22"/>
          <w:shd w:val="clear" w:color="auto" w:fill="FFFFFF"/>
        </w:rPr>
      </w:pP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转入基金的申购费率</w:t>
      </w:r>
      <w:r>
        <w:rPr>
          <w:rFonts w:ascii="微软雅黑" w:eastAsia="微软雅黑" w:hAnsi="微软雅黑" w:cs="微软雅黑" w:hint="eastAsia"/>
          <w:color w:val="333333"/>
          <w:sz w:val="22"/>
          <w:szCs w:val="22"/>
          <w:shd w:val="clear" w:color="auto" w:fill="FFFFFF"/>
        </w:rPr>
        <w:t> </w:t>
      </w:r>
      <w:r>
        <w:rPr>
          <w:rFonts w:ascii="微软雅黑" w:eastAsia="微软雅黑" w:hAnsi="微软雅黑" w:cs="微软雅黑" w:hint="eastAsia"/>
          <w:color w:val="333333"/>
          <w:sz w:val="22"/>
          <w:szCs w:val="22"/>
          <w:shd w:val="clear" w:color="auto" w:fill="FFFFFF"/>
        </w:rPr>
        <w:t>≤转出基金的申购费率，</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333333"/>
          <w:sz w:val="22"/>
          <w:szCs w:val="22"/>
          <w:shd w:val="clear" w:color="auto" w:fill="FFFFFF"/>
        </w:rPr>
      </w:pPr>
      <w:r>
        <w:rPr>
          <w:rFonts w:ascii="微软雅黑" w:eastAsia="微软雅黑" w:hAnsi="微软雅黑" w:cs="微软雅黑" w:hint="eastAsia"/>
          <w:color w:val="333333"/>
          <w:sz w:val="22"/>
          <w:szCs w:val="22"/>
          <w:shd w:val="clear" w:color="auto" w:fill="FFFFFF"/>
        </w:rPr>
        <w:t>补差费用＝</w:t>
      </w:r>
      <w:r>
        <w:rPr>
          <w:rFonts w:ascii="微软雅黑" w:eastAsia="微软雅黑" w:hAnsi="微软雅黑" w:cs="微软雅黑" w:hint="eastAsia"/>
          <w:color w:val="333333"/>
          <w:sz w:val="22"/>
          <w:szCs w:val="22"/>
          <w:shd w:val="clear" w:color="auto" w:fill="FFFFFF"/>
        </w:rPr>
        <w:t>0</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第三步：计算转入金额</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转入金额＝</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转出金额</w:t>
      </w:r>
      <w:r>
        <w:rPr>
          <w:rFonts w:ascii="微软雅黑" w:eastAsia="微软雅黑" w:hAnsi="微软雅黑" w:cs="微软雅黑" w:hint="eastAsia"/>
          <w:color w:val="333333"/>
          <w:sz w:val="14"/>
          <w:szCs w:val="14"/>
          <w:shd w:val="clear" w:color="auto" w:fill="FFFFFF"/>
        </w:rPr>
        <w:t> </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14"/>
          <w:szCs w:val="14"/>
          <w:shd w:val="clear" w:color="auto" w:fill="FFFFFF"/>
        </w:rPr>
        <w:t> </w:t>
      </w:r>
      <w:r>
        <w:rPr>
          <w:rFonts w:ascii="微软雅黑" w:eastAsia="微软雅黑" w:hAnsi="微软雅黑" w:cs="微软雅黑" w:hint="eastAsia"/>
          <w:color w:val="333333"/>
          <w:sz w:val="22"/>
          <w:szCs w:val="22"/>
          <w:shd w:val="clear" w:color="auto" w:fill="FFFFFF"/>
        </w:rPr>
        <w:t>转换费用</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第四步：计算转入份额</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转入份额＝</w:t>
      </w:r>
      <w:r>
        <w:rPr>
          <w:rFonts w:ascii="微软雅黑" w:eastAsia="微软雅黑" w:hAnsi="微软雅黑" w:cs="微软雅黑" w:hint="eastAsia"/>
          <w:color w:val="333333"/>
          <w:sz w:val="22"/>
          <w:szCs w:val="22"/>
          <w:shd w:val="clear" w:color="auto" w:fill="FFFFFF"/>
        </w:rPr>
        <w:t xml:space="preserve"> </w:t>
      </w:r>
      <w:r>
        <w:rPr>
          <w:rFonts w:ascii="微软雅黑" w:eastAsia="微软雅黑" w:hAnsi="微软雅黑" w:cs="微软雅黑" w:hint="eastAsia"/>
          <w:color w:val="333333"/>
          <w:sz w:val="22"/>
          <w:szCs w:val="22"/>
          <w:shd w:val="clear" w:color="auto" w:fill="FFFFFF"/>
        </w:rPr>
        <w:t>转入金额</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转入基金转入申请当日基金份额净值</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（三）基金转换业务交易规则</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、转换的两只基金必须都是由同一销售机构销售、同一基金管理人管理并在同一基金注册</w:t>
      </w:r>
      <w:r>
        <w:rPr>
          <w:rFonts w:ascii="微软雅黑" w:eastAsia="微软雅黑" w:hAnsi="微软雅黑" w:cs="微软雅黑" w:hint="eastAsia"/>
          <w:color w:val="333333"/>
          <w:sz w:val="22"/>
          <w:szCs w:val="22"/>
          <w:shd w:val="clear" w:color="auto" w:fill="FFFFFF"/>
        </w:rPr>
        <w:t>登记机构处注册登记的基金，且同一基金的不同类别</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级别基金份额之间不能相互转换。</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、基金转换采取定向转换原则，即投资者必须指明基金转换的方向，明确指出转出基金和转入基金的名称。</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3</w:t>
      </w:r>
      <w:r>
        <w:rPr>
          <w:rFonts w:ascii="微软雅黑" w:eastAsia="微软雅黑" w:hAnsi="微软雅黑" w:cs="微软雅黑" w:hint="eastAsia"/>
          <w:color w:val="333333"/>
          <w:sz w:val="22"/>
          <w:szCs w:val="22"/>
          <w:shd w:val="clear" w:color="auto" w:fill="FFFFFF"/>
        </w:rPr>
        <w:t>、单笔基金转换的最低申请份额及赎回时或赎回后在单个交易账户保留的基金份额的最低余额请参考各基金的《基金合同》、《招募说明书》等法律文件。</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4</w:t>
      </w:r>
      <w:r>
        <w:rPr>
          <w:rFonts w:ascii="微软雅黑" w:eastAsia="微软雅黑" w:hAnsi="微软雅黑" w:cs="微软雅黑" w:hint="eastAsia"/>
          <w:color w:val="333333"/>
          <w:sz w:val="22"/>
          <w:szCs w:val="22"/>
          <w:shd w:val="clear" w:color="auto" w:fill="FFFFFF"/>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5</w:t>
      </w:r>
      <w:r>
        <w:rPr>
          <w:rFonts w:ascii="微软雅黑" w:eastAsia="微软雅黑" w:hAnsi="微软雅黑" w:cs="微软雅黑" w:hint="eastAsia"/>
          <w:color w:val="333333"/>
          <w:sz w:val="22"/>
          <w:szCs w:val="22"/>
          <w:shd w:val="clear" w:color="auto" w:fill="FFFFFF"/>
        </w:rPr>
        <w:t>、基金转换采取未知价法，即最终转换份额的确认以申请受理当日转出、转入基金的基金份额净值为基础计算。</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333333"/>
          <w:sz w:val="22"/>
          <w:szCs w:val="22"/>
          <w:shd w:val="clear" w:color="auto" w:fill="FFFFFF"/>
        </w:rPr>
      </w:pPr>
      <w:r>
        <w:rPr>
          <w:rFonts w:ascii="微软雅黑" w:eastAsia="微软雅黑" w:hAnsi="微软雅黑" w:cs="微软雅黑" w:hint="eastAsia"/>
          <w:color w:val="333333"/>
          <w:sz w:val="22"/>
          <w:szCs w:val="22"/>
          <w:shd w:val="clear" w:color="auto" w:fill="FFFFFF"/>
        </w:rPr>
        <w:t>6</w:t>
      </w:r>
      <w:r>
        <w:rPr>
          <w:rFonts w:ascii="微软雅黑" w:eastAsia="微软雅黑" w:hAnsi="微软雅黑" w:cs="微软雅黑" w:hint="eastAsia"/>
          <w:color w:val="333333"/>
          <w:sz w:val="22"/>
          <w:szCs w:val="22"/>
          <w:shd w:val="clear" w:color="auto" w:fill="FFFFFF"/>
        </w:rPr>
        <w:t>、正常情况下，基金注册登记机构在Ｔ＋</w:t>
      </w: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日对投资者Ｔ日的基金转换业务申请进行有效性确认，并办理转出基金的权益扣除，以及转入基金的权益登记。在Ｔ＋</w:t>
      </w: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日后（包括该日）投资者可向销</w:t>
      </w:r>
      <w:r>
        <w:rPr>
          <w:rFonts w:ascii="微软雅黑" w:eastAsia="微软雅黑" w:hAnsi="微软雅黑" w:cs="微软雅黑" w:hint="eastAsia"/>
          <w:color w:val="333333"/>
          <w:sz w:val="22"/>
          <w:szCs w:val="22"/>
          <w:shd w:val="clear" w:color="auto" w:fill="FFFFFF"/>
        </w:rPr>
        <w:t>售机构查询基金转换的确认情况。基金转换成功后，投资者可于</w:t>
      </w:r>
      <w:r>
        <w:rPr>
          <w:rFonts w:ascii="微软雅黑" w:eastAsia="微软雅黑" w:hAnsi="微软雅黑" w:cs="微软雅黑" w:hint="eastAsia"/>
          <w:color w:val="333333"/>
          <w:sz w:val="22"/>
          <w:szCs w:val="22"/>
          <w:shd w:val="clear" w:color="auto" w:fill="FFFFFF"/>
        </w:rPr>
        <w:t>T</w:t>
      </w:r>
      <w:r>
        <w:rPr>
          <w:rFonts w:ascii="微软雅黑" w:eastAsia="微软雅黑" w:hAnsi="微软雅黑" w:cs="微软雅黑" w:hint="eastAsia"/>
          <w:color w:val="333333"/>
          <w:sz w:val="22"/>
          <w:szCs w:val="22"/>
          <w:shd w:val="clear" w:color="auto" w:fill="FFFFFF"/>
        </w:rPr>
        <w:t>＋</w:t>
      </w: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日起赎回转入基金。</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7</w:t>
      </w:r>
      <w:r>
        <w:rPr>
          <w:rFonts w:ascii="微软雅黑" w:eastAsia="微软雅黑" w:hAnsi="微软雅黑" w:cs="微软雅黑" w:hint="eastAsia"/>
          <w:color w:val="333333"/>
          <w:sz w:val="22"/>
          <w:szCs w:val="22"/>
          <w:shd w:val="clear" w:color="auto" w:fill="FFFFFF"/>
        </w:rPr>
        <w:t>、单个开放日基金净赎回份额（该基金赎回申请总份额加上基金转换中转出申请总份额扣除申购申请总份额及基金转换中转入申请总份额后的余额）超过上一开放日基金总份额的</w:t>
      </w:r>
      <w:r>
        <w:rPr>
          <w:rFonts w:ascii="微软雅黑" w:eastAsia="微软雅黑" w:hAnsi="微软雅黑" w:cs="微软雅黑" w:hint="eastAsia"/>
          <w:color w:val="333333"/>
          <w:sz w:val="14"/>
          <w:szCs w:val="14"/>
          <w:shd w:val="clear" w:color="auto" w:fill="FFFFFF"/>
        </w:rPr>
        <w:t>10%</w:t>
      </w:r>
      <w:r>
        <w:rPr>
          <w:rFonts w:ascii="微软雅黑" w:eastAsia="微软雅黑" w:hAnsi="微软雅黑" w:cs="微软雅黑" w:hint="eastAsia"/>
          <w:color w:val="333333"/>
          <w:sz w:val="22"/>
          <w:szCs w:val="22"/>
          <w:shd w:val="clear" w:color="auto" w:fill="FFFFFF"/>
        </w:rPr>
        <w:t>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8</w:t>
      </w:r>
      <w:r>
        <w:rPr>
          <w:rFonts w:ascii="微软雅黑" w:eastAsia="微软雅黑" w:hAnsi="微软雅黑" w:cs="微软雅黑" w:hint="eastAsia"/>
          <w:color w:val="333333"/>
          <w:sz w:val="22"/>
          <w:szCs w:val="22"/>
          <w:shd w:val="clear" w:color="auto" w:fill="FFFFFF"/>
        </w:rPr>
        <w:t>、基金转换只能在相同收费</w:t>
      </w:r>
      <w:r>
        <w:rPr>
          <w:rFonts w:ascii="微软雅黑" w:eastAsia="微软雅黑" w:hAnsi="微软雅黑" w:cs="微软雅黑" w:hint="eastAsia"/>
          <w:color w:val="333333"/>
          <w:sz w:val="22"/>
          <w:szCs w:val="22"/>
          <w:shd w:val="clear" w:color="auto" w:fill="FFFFFF"/>
        </w:rPr>
        <w:t>模式下进行。前端收费模式的基金只能转换到前端收费模式的其他基金，后端收费模式的基金只能转换到后端收费模式的其他基金。货币市场基金与其他基金之间的转换不受上述收费模式的限制。</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9</w:t>
      </w:r>
      <w:r>
        <w:rPr>
          <w:rFonts w:ascii="微软雅黑" w:eastAsia="微软雅黑" w:hAnsi="微软雅黑" w:cs="微软雅黑" w:hint="eastAsia"/>
          <w:color w:val="333333"/>
          <w:sz w:val="22"/>
          <w:szCs w:val="22"/>
          <w:shd w:val="clear" w:color="auto" w:fill="FFFFFF"/>
        </w:rPr>
        <w:t>、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w:t>
      </w:r>
      <w:r>
        <w:rPr>
          <w:rFonts w:ascii="微软雅黑" w:eastAsia="微软雅黑" w:hAnsi="微软雅黑" w:cs="微软雅黑" w:hint="eastAsia"/>
          <w:color w:val="333333"/>
          <w:sz w:val="22"/>
          <w:szCs w:val="22"/>
          <w:shd w:val="clear" w:color="auto" w:fill="FFFFFF"/>
        </w:rPr>
        <w:t>收益为负收益，则根据基金转出份额占投资者所持全部货币基金份额的比例转出相应的累计未付收益。</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10</w:t>
      </w:r>
      <w:r>
        <w:rPr>
          <w:rFonts w:ascii="微软雅黑" w:eastAsia="微软雅黑" w:hAnsi="微软雅黑" w:cs="微软雅黑" w:hint="eastAsia"/>
          <w:color w:val="333333"/>
          <w:sz w:val="22"/>
          <w:szCs w:val="22"/>
          <w:shd w:val="clear" w:color="auto" w:fill="FFFFFF"/>
        </w:rPr>
        <w:t>、基金转换业务遵循</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先进先出</w:t>
      </w:r>
      <w:r>
        <w:rPr>
          <w:rFonts w:ascii="微软雅黑" w:eastAsia="微软雅黑" w:hAnsi="微软雅黑" w:cs="微软雅黑" w:hint="eastAsia"/>
          <w:color w:val="333333"/>
          <w:sz w:val="14"/>
          <w:szCs w:val="14"/>
          <w:shd w:val="clear" w:color="auto" w:fill="FFFFFF"/>
        </w:rPr>
        <w:t>”</w:t>
      </w:r>
      <w:r>
        <w:rPr>
          <w:rFonts w:ascii="微软雅黑" w:eastAsia="微软雅黑" w:hAnsi="微软雅黑" w:cs="微软雅黑" w:hint="eastAsia"/>
          <w:color w:val="333333"/>
          <w:sz w:val="22"/>
          <w:szCs w:val="22"/>
          <w:shd w:val="clear" w:color="auto" w:fill="FFFFFF"/>
        </w:rPr>
        <w:t>的业务规则，即首先转换持有时间最长的基金份额，如果同一投资者在基金转换申请当日，同时提出转出基金的赎回申请，则遵循先赎回后转换的处理原则。</w:t>
      </w:r>
    </w:p>
    <w:p w:rsidR="00892C65" w:rsidRDefault="009603E4">
      <w:pPr>
        <w:pStyle w:val="a3"/>
        <w:widowControl/>
        <w:shd w:val="clear" w:color="auto" w:fill="FFFFFF"/>
        <w:spacing w:beforeAutospacing="0" w:afterAutospacing="0" w:line="210" w:lineRule="atLeast"/>
        <w:ind w:firstLine="42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11</w:t>
      </w:r>
      <w:r>
        <w:rPr>
          <w:rFonts w:ascii="微软雅黑" w:eastAsia="微软雅黑" w:hAnsi="微软雅黑" w:cs="微软雅黑" w:hint="eastAsia"/>
          <w:color w:val="333333"/>
          <w:sz w:val="22"/>
          <w:szCs w:val="22"/>
          <w:shd w:val="clear" w:color="auto" w:fill="FFFFFF"/>
        </w:rPr>
        <w:t>、基金转换视同为转出基金的赎回和转入基金的申购，因此暂停基金转换适用有关转出基金和转入基金关于暂停或拒绝申购、暂停赎回和巨额赎回的有关规定。</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460" w:lineRule="atLeast"/>
        <w:ind w:firstLine="442"/>
        <w:jc w:val="both"/>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四、参加费率优惠活动</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费率优惠活动自</w:t>
      </w:r>
      <w:r>
        <w:rPr>
          <w:rFonts w:ascii="微软雅黑" w:eastAsia="微软雅黑" w:hAnsi="微软雅黑" w:cs="微软雅黑" w:hint="eastAsia"/>
          <w:color w:val="000000"/>
          <w:sz w:val="22"/>
          <w:szCs w:val="22"/>
          <w:shd w:val="clear" w:color="auto" w:fill="FFFFFF"/>
        </w:rPr>
        <w:t>2024</w:t>
      </w:r>
      <w:r>
        <w:rPr>
          <w:rFonts w:ascii="微软雅黑" w:eastAsia="微软雅黑" w:hAnsi="微软雅黑" w:cs="微软雅黑" w:hint="eastAsia"/>
          <w:color w:val="000000"/>
          <w:sz w:val="22"/>
          <w:szCs w:val="22"/>
          <w:shd w:val="clear" w:color="auto" w:fill="FFFFFF"/>
        </w:rPr>
        <w:t>年</w:t>
      </w:r>
      <w:r>
        <w:rPr>
          <w:rFonts w:ascii="微软雅黑" w:eastAsia="微软雅黑" w:hAnsi="微软雅黑" w:cs="微软雅黑" w:hint="eastAsia"/>
          <w:color w:val="000000"/>
          <w:sz w:val="22"/>
          <w:szCs w:val="22"/>
          <w:shd w:val="clear" w:color="auto" w:fill="FFFFFF"/>
        </w:rPr>
        <w:t>6</w:t>
      </w:r>
      <w:r>
        <w:rPr>
          <w:rFonts w:ascii="微软雅黑" w:eastAsia="微软雅黑" w:hAnsi="微软雅黑" w:cs="微软雅黑" w:hint="eastAsia"/>
          <w:color w:val="000000"/>
          <w:sz w:val="22"/>
          <w:szCs w:val="22"/>
          <w:shd w:val="clear" w:color="auto" w:fill="FFFFFF"/>
        </w:rPr>
        <w:t>月</w:t>
      </w:r>
      <w:r>
        <w:rPr>
          <w:rFonts w:ascii="微软雅黑" w:eastAsia="微软雅黑" w:hAnsi="微软雅黑" w:cs="微软雅黑" w:hint="eastAsia"/>
          <w:color w:val="000000"/>
          <w:sz w:val="22"/>
          <w:szCs w:val="22"/>
          <w:shd w:val="clear" w:color="auto" w:fill="FFFFFF"/>
        </w:rPr>
        <w:t>26</w:t>
      </w:r>
      <w:r>
        <w:rPr>
          <w:rFonts w:ascii="微软雅黑" w:eastAsia="微软雅黑" w:hAnsi="微软雅黑" w:cs="微软雅黑" w:hint="eastAsia"/>
          <w:color w:val="000000"/>
          <w:sz w:val="22"/>
          <w:szCs w:val="22"/>
          <w:shd w:val="clear" w:color="auto" w:fill="FFFFFF"/>
        </w:rPr>
        <w:t>日</w:t>
      </w:r>
      <w:r>
        <w:rPr>
          <w:rFonts w:ascii="微软雅黑" w:eastAsia="微软雅黑" w:hAnsi="微软雅黑" w:cs="微软雅黑" w:hint="eastAsia"/>
          <w:color w:val="333333"/>
          <w:sz w:val="22"/>
          <w:szCs w:val="22"/>
          <w:shd w:val="clear" w:color="auto" w:fill="FFFFFF"/>
        </w:rPr>
        <w:t>起开展，暂不设截止日期，若有变动，以</w:t>
      </w:r>
      <w:r>
        <w:rPr>
          <w:rFonts w:ascii="微软雅黑" w:eastAsia="微软雅黑" w:hAnsi="微软雅黑" w:cs="微软雅黑" w:hint="eastAsia"/>
          <w:color w:val="333333"/>
          <w:sz w:val="22"/>
          <w:szCs w:val="22"/>
          <w:shd w:val="clear" w:color="auto" w:fill="FFFFFF"/>
        </w:rPr>
        <w:t>利得基金</w:t>
      </w:r>
      <w:r>
        <w:rPr>
          <w:rFonts w:ascii="微软雅黑" w:eastAsia="微软雅黑" w:hAnsi="微软雅黑" w:cs="微软雅黑" w:hint="eastAsia"/>
          <w:color w:val="333333"/>
          <w:sz w:val="22"/>
          <w:szCs w:val="22"/>
          <w:shd w:val="clear" w:color="auto" w:fill="FFFFFF"/>
        </w:rPr>
        <w:t>公告为准。</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费率优惠活动期间，投资者通过</w:t>
      </w:r>
      <w:r>
        <w:rPr>
          <w:rFonts w:ascii="微软雅黑" w:eastAsia="微软雅黑" w:hAnsi="微软雅黑" w:cs="微软雅黑" w:hint="eastAsia"/>
          <w:color w:val="333333"/>
          <w:sz w:val="22"/>
          <w:szCs w:val="22"/>
          <w:shd w:val="clear" w:color="auto" w:fill="FFFFFF"/>
        </w:rPr>
        <w:t>利得基金</w:t>
      </w:r>
      <w:r>
        <w:rPr>
          <w:rFonts w:ascii="微软雅黑" w:eastAsia="微软雅黑" w:hAnsi="微软雅黑" w:cs="微软雅黑" w:hint="eastAsia"/>
          <w:color w:val="333333"/>
          <w:sz w:val="22"/>
          <w:szCs w:val="22"/>
          <w:shd w:val="clear" w:color="auto" w:fill="FFFFFF"/>
        </w:rPr>
        <w:t>申购我司上述适用基金（含定期定额投资），申购费率享受</w:t>
      </w: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折优惠。优惠前申购费率为固定费率的，则按原申购费率执行，不再享有费率折扣。</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上述适用基金的原申购费率参见各基金的相关法律文件及本公司发布的最新相关公告。</w:t>
      </w:r>
    </w:p>
    <w:p w:rsidR="00892C65" w:rsidRDefault="009603E4">
      <w:pPr>
        <w:pStyle w:val="a3"/>
        <w:widowControl/>
        <w:shd w:val="clear" w:color="auto" w:fill="FFFFFF"/>
        <w:spacing w:beforeAutospacing="0" w:afterAutospacing="0" w:line="320" w:lineRule="atLeast"/>
        <w:ind w:firstLine="440"/>
        <w:jc w:val="both"/>
        <w:rPr>
          <w:rFonts w:ascii="宋体" w:eastAsia="宋体" w:hAnsi="宋体" w:cs="宋体"/>
          <w:color w:val="333333"/>
        </w:rPr>
      </w:pPr>
      <w:r>
        <w:rPr>
          <w:rFonts w:ascii="微软雅黑" w:eastAsia="微软雅黑" w:hAnsi="微软雅黑" w:cs="微软雅黑" w:hint="eastAsia"/>
          <w:color w:val="333333"/>
          <w:sz w:val="22"/>
          <w:szCs w:val="22"/>
          <w:shd w:val="clear" w:color="auto" w:fill="FFFFFF"/>
        </w:rPr>
        <w:t> </w:t>
      </w:r>
    </w:p>
    <w:p w:rsidR="00892C65" w:rsidRDefault="009603E4">
      <w:pPr>
        <w:pStyle w:val="a3"/>
        <w:widowControl/>
        <w:shd w:val="clear" w:color="auto" w:fill="FFFFFF"/>
        <w:spacing w:beforeAutospacing="0" w:afterAutospacing="0" w:line="460" w:lineRule="atLeast"/>
        <w:ind w:firstLine="442"/>
        <w:jc w:val="both"/>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五、其他需要提示的事项</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1</w:t>
      </w:r>
      <w:r>
        <w:rPr>
          <w:rFonts w:ascii="微软雅黑" w:eastAsia="微软雅黑" w:hAnsi="微软雅黑" w:cs="微软雅黑" w:hint="eastAsia"/>
          <w:color w:val="333333"/>
          <w:sz w:val="22"/>
          <w:szCs w:val="22"/>
          <w:shd w:val="clear" w:color="auto" w:fill="FFFFFF"/>
        </w:rPr>
        <w:t>、投资者在</w:t>
      </w:r>
      <w:r>
        <w:rPr>
          <w:rFonts w:ascii="微软雅黑" w:eastAsia="微软雅黑" w:hAnsi="微软雅黑" w:cs="微软雅黑" w:hint="eastAsia"/>
          <w:color w:val="333333"/>
          <w:sz w:val="22"/>
          <w:szCs w:val="22"/>
          <w:shd w:val="clear" w:color="auto" w:fill="FFFFFF"/>
        </w:rPr>
        <w:t>利得基金</w:t>
      </w:r>
      <w:r>
        <w:rPr>
          <w:rFonts w:ascii="微软雅黑" w:eastAsia="微软雅黑" w:hAnsi="微软雅黑" w:cs="微软雅黑" w:hint="eastAsia"/>
          <w:color w:val="333333"/>
          <w:sz w:val="22"/>
          <w:szCs w:val="22"/>
          <w:shd w:val="clear" w:color="auto" w:fill="FFFFFF"/>
        </w:rPr>
        <w:t>办理上述基金的申购（包括定期定额投资）、赎回等业务，具体办理规则请遵循</w:t>
      </w:r>
      <w:r>
        <w:rPr>
          <w:rFonts w:ascii="微软雅黑" w:eastAsia="微软雅黑" w:hAnsi="微软雅黑" w:cs="微软雅黑" w:hint="eastAsia"/>
          <w:color w:val="333333"/>
          <w:sz w:val="22"/>
          <w:szCs w:val="22"/>
          <w:shd w:val="clear" w:color="auto" w:fill="FFFFFF"/>
        </w:rPr>
        <w:t>利得基金</w:t>
      </w:r>
      <w:r>
        <w:rPr>
          <w:rFonts w:ascii="微软雅黑" w:eastAsia="微软雅黑" w:hAnsi="微软雅黑" w:cs="微软雅黑" w:hint="eastAsia"/>
          <w:color w:val="333333"/>
          <w:sz w:val="22"/>
          <w:szCs w:val="22"/>
          <w:shd w:val="clear" w:color="auto" w:fill="FFFFFF"/>
        </w:rPr>
        <w:t>的相关业务规定。</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2</w:t>
      </w:r>
      <w:r>
        <w:rPr>
          <w:rFonts w:ascii="微软雅黑" w:eastAsia="微软雅黑" w:hAnsi="微软雅黑" w:cs="微软雅黑" w:hint="eastAsia"/>
          <w:color w:val="333333"/>
          <w:sz w:val="22"/>
          <w:szCs w:val="22"/>
          <w:shd w:val="clear" w:color="auto" w:fill="FFFFFF"/>
        </w:rPr>
        <w:t>、上述申购费率优惠活动的解释权归</w:t>
      </w:r>
      <w:r>
        <w:rPr>
          <w:rFonts w:ascii="微软雅黑" w:eastAsia="微软雅黑" w:hAnsi="微软雅黑" w:cs="微软雅黑" w:hint="eastAsia"/>
          <w:color w:val="333333"/>
          <w:sz w:val="22"/>
          <w:szCs w:val="22"/>
          <w:shd w:val="clear" w:color="auto" w:fill="FFFFFF"/>
        </w:rPr>
        <w:t>利得基金</w:t>
      </w:r>
      <w:r>
        <w:rPr>
          <w:rFonts w:ascii="微软雅黑" w:eastAsia="微软雅黑" w:hAnsi="微软雅黑" w:cs="微软雅黑" w:hint="eastAsia"/>
          <w:color w:val="333333"/>
          <w:sz w:val="22"/>
          <w:szCs w:val="22"/>
          <w:shd w:val="clear" w:color="auto" w:fill="FFFFFF"/>
        </w:rPr>
        <w:t>所有。</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3</w:t>
      </w:r>
      <w:r>
        <w:rPr>
          <w:rFonts w:ascii="微软雅黑" w:eastAsia="微软雅黑" w:hAnsi="微软雅黑" w:cs="微软雅黑" w:hint="eastAsia"/>
          <w:color w:val="333333"/>
          <w:sz w:val="22"/>
          <w:szCs w:val="22"/>
          <w:shd w:val="clear" w:color="auto" w:fill="FFFFFF"/>
        </w:rPr>
        <w:t>、上述申购优惠活动的结束日期以</w:t>
      </w:r>
      <w:r>
        <w:rPr>
          <w:rFonts w:ascii="微软雅黑" w:eastAsia="微软雅黑" w:hAnsi="微软雅黑" w:cs="微软雅黑" w:hint="eastAsia"/>
          <w:color w:val="333333"/>
          <w:sz w:val="22"/>
          <w:szCs w:val="22"/>
          <w:shd w:val="clear" w:color="auto" w:fill="FFFFFF"/>
        </w:rPr>
        <w:t>利得基金</w:t>
      </w:r>
      <w:r>
        <w:rPr>
          <w:rFonts w:ascii="微软雅黑" w:eastAsia="微软雅黑" w:hAnsi="微软雅黑" w:cs="微软雅黑" w:hint="eastAsia"/>
          <w:color w:val="333333"/>
          <w:sz w:val="22"/>
          <w:szCs w:val="22"/>
          <w:shd w:val="clear" w:color="auto" w:fill="FFFFFF"/>
        </w:rPr>
        <w:t>公告为准。</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4</w:t>
      </w:r>
      <w:r>
        <w:rPr>
          <w:rFonts w:ascii="微软雅黑" w:eastAsia="微软雅黑" w:hAnsi="微软雅黑" w:cs="微软雅黑" w:hint="eastAsia"/>
          <w:color w:val="333333"/>
          <w:sz w:val="22"/>
          <w:szCs w:val="22"/>
          <w:shd w:val="clear" w:color="auto" w:fill="FFFFFF"/>
        </w:rPr>
        <w:t>、本公司可以根据市场情况调整上述转换的业务规则及有关限制，届时本公司将另行公告。</w:t>
      </w:r>
    </w:p>
    <w:p w:rsidR="00892C65" w:rsidRDefault="009603E4">
      <w:pPr>
        <w:pStyle w:val="a3"/>
        <w:widowControl/>
        <w:shd w:val="clear" w:color="auto" w:fill="FFFFFF"/>
        <w:spacing w:beforeAutospacing="0" w:afterAutospacing="0" w:line="210" w:lineRule="atLeast"/>
        <w:ind w:firstLine="440"/>
        <w:jc w:val="both"/>
        <w:rPr>
          <w:rFonts w:ascii="微软雅黑" w:eastAsia="微软雅黑" w:hAnsi="微软雅黑" w:cs="微软雅黑"/>
          <w:color w:val="000000"/>
          <w:sz w:val="22"/>
          <w:szCs w:val="22"/>
          <w:shd w:val="clear" w:color="auto" w:fill="FFFFFF"/>
        </w:rPr>
      </w:pPr>
      <w:r>
        <w:rPr>
          <w:rFonts w:ascii="微软雅黑" w:eastAsia="微软雅黑" w:hAnsi="微软雅黑" w:cs="微软雅黑" w:hint="eastAsia"/>
          <w:color w:val="333333"/>
          <w:sz w:val="22"/>
          <w:szCs w:val="22"/>
          <w:shd w:val="clear" w:color="auto" w:fill="FFFFFF"/>
        </w:rPr>
        <w:t>5</w:t>
      </w:r>
      <w:r>
        <w:rPr>
          <w:rFonts w:ascii="微软雅黑" w:eastAsia="微软雅黑" w:hAnsi="微软雅黑" w:cs="微软雅黑" w:hint="eastAsia"/>
          <w:color w:val="333333"/>
          <w:sz w:val="22"/>
          <w:szCs w:val="22"/>
          <w:shd w:val="clear" w:color="auto" w:fill="FFFFFF"/>
        </w:rPr>
        <w:t>、投资者欲了解本基金产品的详细情况，请仔细阅读刊登于本公司网站</w:t>
      </w: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www.ncfund.com.cn</w:t>
      </w:r>
      <w:r>
        <w:rPr>
          <w:rFonts w:ascii="微软雅黑" w:eastAsia="微软雅黑" w:hAnsi="微软雅黑" w:cs="微软雅黑" w:hint="eastAsia"/>
          <w:color w:val="000000"/>
          <w:sz w:val="22"/>
          <w:szCs w:val="22"/>
          <w:shd w:val="clear" w:color="auto" w:fill="FFFFFF"/>
        </w:rPr>
        <w:t>）的本基金《基金合同》、《招募说明书》、《产品资料概要》等法律文件，以及相关业务公告。</w:t>
      </w:r>
    </w:p>
    <w:p w:rsidR="00892C65" w:rsidRDefault="009603E4">
      <w:pPr>
        <w:pStyle w:val="a3"/>
        <w:widowControl/>
        <w:shd w:val="clear" w:color="auto" w:fill="FFFFFF"/>
        <w:spacing w:beforeAutospacing="0" w:afterAutospacing="0" w:line="210" w:lineRule="atLeast"/>
        <w:ind w:firstLine="440"/>
        <w:jc w:val="both"/>
        <w:rPr>
          <w:rFonts w:ascii="Calibri" w:hAnsi="Calibri" w:cs="Calibri"/>
          <w:color w:val="333333"/>
          <w:sz w:val="21"/>
          <w:szCs w:val="21"/>
        </w:rPr>
      </w:pPr>
      <w:r>
        <w:rPr>
          <w:rFonts w:ascii="微软雅黑" w:eastAsia="微软雅黑" w:hAnsi="微软雅黑" w:cs="微软雅黑" w:hint="eastAsia"/>
          <w:color w:val="333333"/>
          <w:sz w:val="22"/>
          <w:szCs w:val="22"/>
          <w:shd w:val="clear" w:color="auto" w:fill="FFFFFF"/>
        </w:rPr>
        <w:t>6</w:t>
      </w:r>
      <w:r>
        <w:rPr>
          <w:rFonts w:ascii="微软雅黑" w:eastAsia="微软雅黑" w:hAnsi="微软雅黑" w:cs="微软雅黑" w:hint="eastAsia"/>
          <w:color w:val="333333"/>
          <w:sz w:val="22"/>
          <w:szCs w:val="22"/>
          <w:shd w:val="clear" w:color="auto" w:fill="FFFFFF"/>
        </w:rPr>
        <w:t>、投资者可以通过以下途径咨询有关事宜</w:t>
      </w:r>
    </w:p>
    <w:p w:rsidR="00892C65" w:rsidRDefault="009603E4">
      <w:pPr>
        <w:pStyle w:val="a3"/>
        <w:widowControl/>
        <w:shd w:val="clear" w:color="auto" w:fill="FFFFFF"/>
        <w:spacing w:beforeAutospacing="0" w:afterAutospacing="0" w:line="460" w:lineRule="atLeast"/>
        <w:ind w:firstLine="442"/>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上海利得基金销售有限公司</w:t>
      </w:r>
    </w:p>
    <w:p w:rsidR="00892C65" w:rsidRDefault="009603E4">
      <w:pPr>
        <w:pStyle w:val="a3"/>
        <w:widowControl/>
        <w:shd w:val="clear" w:color="auto" w:fill="FFFFFF"/>
        <w:spacing w:beforeAutospacing="0" w:afterAutospacing="0" w:line="460" w:lineRule="atLeast"/>
        <w:ind w:firstLine="442"/>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客户服务电话：</w:t>
      </w:r>
      <w:r>
        <w:rPr>
          <w:rFonts w:ascii="微软雅黑" w:eastAsia="微软雅黑" w:hAnsi="微软雅黑" w:cs="微软雅黑" w:hint="eastAsia"/>
          <w:color w:val="333333"/>
          <w:shd w:val="clear" w:color="auto" w:fill="FFFFFF"/>
        </w:rPr>
        <w:t>400</w:t>
      </w:r>
      <w:r>
        <w:rPr>
          <w:rFonts w:ascii="微软雅黑" w:eastAsia="微软雅黑" w:hAnsi="微软雅黑" w:cs="微软雅黑" w:hint="eastAsia"/>
          <w:color w:val="333333"/>
          <w:shd w:val="clear" w:color="auto" w:fill="FFFFFF"/>
        </w:rPr>
        <w:t>-032-5885</w:t>
      </w:r>
    </w:p>
    <w:p w:rsidR="00892C65" w:rsidRDefault="009603E4">
      <w:pPr>
        <w:pStyle w:val="a3"/>
        <w:widowControl/>
        <w:shd w:val="clear" w:color="auto" w:fill="FFFFFF"/>
        <w:spacing w:beforeAutospacing="0" w:afterAutospacing="0" w:line="460" w:lineRule="atLeast"/>
        <w:ind w:firstLine="442"/>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网址：</w:t>
      </w:r>
      <w:r>
        <w:rPr>
          <w:rFonts w:ascii="微软雅黑" w:eastAsia="微软雅黑" w:hAnsi="微软雅黑" w:cs="微软雅黑" w:hint="eastAsia"/>
          <w:color w:val="333333"/>
          <w:shd w:val="clear" w:color="auto" w:fill="FFFFFF"/>
        </w:rPr>
        <w:t>www.leadfund.com.cn</w:t>
      </w:r>
    </w:p>
    <w:p w:rsidR="00892C65" w:rsidRDefault="009603E4">
      <w:pPr>
        <w:pStyle w:val="a3"/>
        <w:widowControl/>
        <w:shd w:val="clear" w:color="auto" w:fill="FFFFFF"/>
        <w:spacing w:beforeAutospacing="0" w:afterAutospacing="0" w:line="460" w:lineRule="atLeast"/>
        <w:ind w:firstLine="442"/>
        <w:jc w:val="both"/>
        <w:rPr>
          <w:rFonts w:ascii="微软雅黑" w:eastAsia="微软雅黑" w:hAnsi="微软雅黑" w:cs="微软雅黑"/>
          <w:color w:val="000000"/>
          <w:sz w:val="22"/>
          <w:szCs w:val="22"/>
          <w:shd w:val="clear" w:color="auto" w:fill="FFFFFF"/>
        </w:rPr>
      </w:pPr>
      <w:r>
        <w:rPr>
          <w:rFonts w:ascii="微软雅黑" w:eastAsia="微软雅黑" w:hAnsi="微软雅黑" w:cs="微软雅黑" w:hint="eastAsia"/>
          <w:color w:val="000000"/>
          <w:sz w:val="22"/>
          <w:szCs w:val="22"/>
          <w:shd w:val="clear" w:color="auto" w:fill="FFFFFF"/>
        </w:rPr>
        <w:t>（</w:t>
      </w:r>
      <w:r>
        <w:rPr>
          <w:rFonts w:ascii="微软雅黑" w:eastAsia="微软雅黑" w:hAnsi="微软雅黑" w:cs="微软雅黑" w:hint="eastAsia"/>
          <w:color w:val="000000"/>
          <w:sz w:val="22"/>
          <w:szCs w:val="22"/>
          <w:shd w:val="clear" w:color="auto" w:fill="FFFFFF"/>
        </w:rPr>
        <w:t>2</w:t>
      </w:r>
      <w:r>
        <w:rPr>
          <w:rFonts w:ascii="微软雅黑" w:eastAsia="微软雅黑" w:hAnsi="微软雅黑" w:cs="微软雅黑" w:hint="eastAsia"/>
          <w:color w:val="000000"/>
          <w:sz w:val="22"/>
          <w:szCs w:val="22"/>
          <w:shd w:val="clear" w:color="auto" w:fill="FFFFFF"/>
        </w:rPr>
        <w:t>）新华基金管理股份有限公司</w:t>
      </w:r>
      <w:bookmarkStart w:id="0" w:name="_GoBack"/>
      <w:bookmarkEnd w:id="0"/>
    </w:p>
    <w:p w:rsidR="00892C65" w:rsidRDefault="009603E4">
      <w:pPr>
        <w:pStyle w:val="a3"/>
        <w:widowControl/>
        <w:shd w:val="clear" w:color="auto" w:fill="FFFFFF"/>
        <w:spacing w:beforeAutospacing="0" w:afterAutospacing="0" w:line="460" w:lineRule="atLeast"/>
        <w:ind w:firstLine="442"/>
        <w:jc w:val="both"/>
        <w:rPr>
          <w:rFonts w:ascii="微软雅黑" w:eastAsia="微软雅黑" w:hAnsi="微软雅黑" w:cs="微软雅黑"/>
          <w:color w:val="000000"/>
          <w:sz w:val="22"/>
          <w:szCs w:val="22"/>
          <w:shd w:val="clear" w:color="auto" w:fill="FFFFFF"/>
        </w:rPr>
      </w:pPr>
      <w:r>
        <w:rPr>
          <w:rFonts w:ascii="微软雅黑" w:eastAsia="微软雅黑" w:hAnsi="微软雅黑" w:cs="微软雅黑" w:hint="eastAsia"/>
          <w:color w:val="000000"/>
          <w:sz w:val="22"/>
          <w:szCs w:val="22"/>
          <w:shd w:val="clear" w:color="auto" w:fill="FFFFFF"/>
        </w:rPr>
        <w:t>客服电话：</w:t>
      </w:r>
      <w:r>
        <w:rPr>
          <w:rFonts w:ascii="微软雅黑" w:eastAsia="微软雅黑" w:hAnsi="微软雅黑" w:cs="微软雅黑" w:hint="eastAsia"/>
          <w:color w:val="000000"/>
          <w:sz w:val="22"/>
          <w:szCs w:val="22"/>
          <w:shd w:val="clear" w:color="auto" w:fill="FFFFFF"/>
        </w:rPr>
        <w:t>400-819-8866</w:t>
      </w:r>
    </w:p>
    <w:p w:rsidR="00892C65" w:rsidRDefault="009603E4">
      <w:pPr>
        <w:pStyle w:val="a3"/>
        <w:widowControl/>
        <w:shd w:val="clear" w:color="auto" w:fill="FFFFFF"/>
        <w:spacing w:beforeAutospacing="0" w:afterAutospacing="0" w:line="460" w:lineRule="atLeast"/>
        <w:ind w:firstLine="442"/>
        <w:jc w:val="both"/>
        <w:rPr>
          <w:rFonts w:ascii="微软雅黑" w:eastAsia="微软雅黑" w:hAnsi="微软雅黑" w:cs="微软雅黑"/>
          <w:color w:val="000000"/>
          <w:sz w:val="22"/>
          <w:szCs w:val="22"/>
          <w:shd w:val="clear" w:color="auto" w:fill="FFFFFF"/>
        </w:rPr>
      </w:pPr>
      <w:r>
        <w:rPr>
          <w:rFonts w:ascii="微软雅黑" w:eastAsia="微软雅黑" w:hAnsi="微软雅黑" w:cs="微软雅黑" w:hint="eastAsia"/>
          <w:color w:val="000000"/>
          <w:sz w:val="22"/>
          <w:szCs w:val="22"/>
          <w:shd w:val="clear" w:color="auto" w:fill="FFFFFF"/>
        </w:rPr>
        <w:t>网址：</w:t>
      </w:r>
      <w:r>
        <w:rPr>
          <w:rFonts w:ascii="微软雅黑" w:eastAsia="微软雅黑" w:hAnsi="微软雅黑" w:cs="微软雅黑" w:hint="eastAsia"/>
          <w:color w:val="000000"/>
          <w:sz w:val="22"/>
          <w:szCs w:val="22"/>
          <w:shd w:val="clear" w:color="auto" w:fill="FFFFFF"/>
        </w:rPr>
        <w:t>www.ncfund.com.cn</w:t>
      </w:r>
    </w:p>
    <w:p w:rsidR="00892C65" w:rsidRDefault="009603E4">
      <w:pPr>
        <w:pStyle w:val="a3"/>
        <w:widowControl/>
        <w:shd w:val="clear" w:color="auto" w:fill="FFFFFF"/>
        <w:spacing w:beforeAutospacing="0" w:afterAutospacing="0" w:line="210" w:lineRule="atLeast"/>
        <w:ind w:firstLine="420"/>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460" w:lineRule="atLeast"/>
        <w:ind w:firstLine="442"/>
        <w:jc w:val="both"/>
        <w:rPr>
          <w:rFonts w:ascii="Calibri" w:hAnsi="Calibri" w:cs="Calibri"/>
          <w:color w:val="333333"/>
          <w:sz w:val="21"/>
          <w:szCs w:val="21"/>
        </w:rPr>
      </w:pPr>
      <w:r>
        <w:rPr>
          <w:rFonts w:ascii="微软雅黑" w:eastAsia="微软雅黑" w:hAnsi="微软雅黑" w:cs="微软雅黑" w:hint="eastAsia"/>
          <w:b/>
          <w:bCs/>
          <w:color w:val="000000"/>
          <w:sz w:val="22"/>
          <w:szCs w:val="22"/>
          <w:shd w:val="clear" w:color="auto" w:fill="FFFFFF"/>
        </w:rPr>
        <w:t>六、风险提示</w:t>
      </w:r>
    </w:p>
    <w:p w:rsidR="00892C65" w:rsidRDefault="009603E4">
      <w:pPr>
        <w:pStyle w:val="a3"/>
        <w:widowControl/>
        <w:shd w:val="clear" w:color="auto" w:fill="FFFFFF"/>
        <w:spacing w:beforeAutospacing="0" w:afterAutospacing="0" w:line="460" w:lineRule="atLeast"/>
        <w:ind w:firstLine="442"/>
        <w:jc w:val="both"/>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892C65" w:rsidRDefault="009603E4">
      <w:pPr>
        <w:pStyle w:val="a3"/>
        <w:widowControl/>
        <w:shd w:val="clear" w:color="auto" w:fill="FFFFFF"/>
        <w:spacing w:beforeAutospacing="0" w:afterAutospacing="0" w:line="460" w:lineRule="atLeast"/>
        <w:ind w:firstLine="420"/>
        <w:jc w:val="both"/>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特此公告。</w:t>
      </w:r>
      <w:r>
        <w:rPr>
          <w:rFonts w:ascii="微软雅黑" w:eastAsia="微软雅黑" w:hAnsi="微软雅黑" w:cs="微软雅黑" w:hint="eastAsia"/>
          <w:color w:val="333333"/>
          <w:sz w:val="22"/>
          <w:szCs w:val="22"/>
          <w:shd w:val="clear" w:color="auto" w:fill="FFFFFF"/>
        </w:rPr>
        <w:t> </w:t>
      </w:r>
    </w:p>
    <w:p w:rsidR="00892C65" w:rsidRDefault="009603E4">
      <w:pPr>
        <w:pStyle w:val="a3"/>
        <w:widowControl/>
        <w:shd w:val="clear" w:color="auto" w:fill="FFFFFF"/>
        <w:spacing w:beforeAutospacing="0" w:afterAutospacing="0" w:line="460" w:lineRule="atLeast"/>
        <w:ind w:firstLine="442"/>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318" w:lineRule="atLeast"/>
        <w:ind w:firstLine="440"/>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892C65" w:rsidRDefault="009603E4">
      <w:pPr>
        <w:pStyle w:val="a3"/>
        <w:widowControl/>
        <w:shd w:val="clear" w:color="auto" w:fill="FFFFFF"/>
        <w:spacing w:beforeAutospacing="0" w:afterAutospacing="0" w:line="460" w:lineRule="atLeast"/>
        <w:ind w:firstLine="420"/>
        <w:jc w:val="right"/>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新华基金管理股份有限公司</w:t>
      </w:r>
    </w:p>
    <w:p w:rsidR="00892C65" w:rsidRDefault="009603E4">
      <w:pPr>
        <w:pStyle w:val="a3"/>
        <w:widowControl/>
        <w:shd w:val="clear" w:color="auto" w:fill="FFFFFF"/>
        <w:spacing w:beforeAutospacing="0" w:afterAutospacing="0" w:line="510" w:lineRule="atLeast"/>
        <w:ind w:firstLine="420"/>
        <w:jc w:val="center"/>
        <w:rPr>
          <w:rFonts w:ascii="Calibri" w:hAnsi="Calibri" w:cs="Calibri"/>
          <w:color w:val="333333"/>
          <w:sz w:val="21"/>
          <w:szCs w:val="21"/>
        </w:rPr>
      </w:pPr>
      <w:r>
        <w:rPr>
          <w:rFonts w:ascii="微软雅黑" w:eastAsia="微软雅黑" w:hAnsi="微软雅黑" w:cs="微软雅黑" w:hint="eastAsia"/>
          <w:color w:val="000000"/>
          <w:sz w:val="22"/>
          <w:szCs w:val="22"/>
          <w:shd w:val="clear" w:color="auto" w:fill="FFFFFF"/>
        </w:rPr>
        <w:t xml:space="preserve">                                                  2024</w:t>
      </w:r>
      <w:r>
        <w:rPr>
          <w:rFonts w:ascii="微软雅黑" w:eastAsia="微软雅黑" w:hAnsi="微软雅黑" w:cs="微软雅黑" w:hint="eastAsia"/>
          <w:color w:val="000000"/>
          <w:sz w:val="22"/>
          <w:szCs w:val="22"/>
          <w:shd w:val="clear" w:color="auto" w:fill="FFFFFF"/>
        </w:rPr>
        <w:t>年</w:t>
      </w:r>
      <w:r>
        <w:rPr>
          <w:rFonts w:ascii="微软雅黑" w:eastAsia="微软雅黑" w:hAnsi="微软雅黑" w:cs="微软雅黑" w:hint="eastAsia"/>
          <w:color w:val="000000"/>
          <w:sz w:val="22"/>
          <w:szCs w:val="22"/>
          <w:shd w:val="clear" w:color="auto" w:fill="FFFFFF"/>
        </w:rPr>
        <w:t>6</w:t>
      </w:r>
      <w:r>
        <w:rPr>
          <w:rFonts w:ascii="微软雅黑" w:eastAsia="微软雅黑" w:hAnsi="微软雅黑" w:cs="微软雅黑" w:hint="eastAsia"/>
          <w:color w:val="000000"/>
          <w:sz w:val="22"/>
          <w:szCs w:val="22"/>
          <w:shd w:val="clear" w:color="auto" w:fill="FFFFFF"/>
        </w:rPr>
        <w:t>月</w:t>
      </w:r>
      <w:r>
        <w:rPr>
          <w:rFonts w:ascii="微软雅黑" w:eastAsia="微软雅黑" w:hAnsi="微软雅黑" w:cs="微软雅黑" w:hint="eastAsia"/>
          <w:color w:val="000000"/>
          <w:sz w:val="22"/>
          <w:szCs w:val="22"/>
          <w:shd w:val="clear" w:color="auto" w:fill="FFFFFF"/>
        </w:rPr>
        <w:t>26</w:t>
      </w:r>
      <w:r>
        <w:rPr>
          <w:rFonts w:ascii="微软雅黑" w:eastAsia="微软雅黑" w:hAnsi="微软雅黑" w:cs="微软雅黑" w:hint="eastAsia"/>
          <w:color w:val="000000"/>
          <w:sz w:val="22"/>
          <w:szCs w:val="22"/>
          <w:shd w:val="clear" w:color="auto" w:fill="FFFFFF"/>
        </w:rPr>
        <w:t>日</w:t>
      </w:r>
    </w:p>
    <w:p w:rsidR="00892C65" w:rsidRDefault="00892C65"/>
    <w:sectPr w:rsidR="00892C65" w:rsidSect="00892C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JmZWEwZWY5MzRkMzdlNTExOTJhZGJmOGUwOTMxZDMifQ=="/>
  </w:docVars>
  <w:rsids>
    <w:rsidRoot w:val="046207DC"/>
    <w:rsid w:val="0047688F"/>
    <w:rsid w:val="00892C65"/>
    <w:rsid w:val="009603E4"/>
    <w:rsid w:val="0256060D"/>
    <w:rsid w:val="046207DC"/>
    <w:rsid w:val="5A0430E6"/>
    <w:rsid w:val="66F36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C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892C65"/>
    <w:pPr>
      <w:spacing w:beforeAutospacing="1" w:afterAutospacing="1"/>
      <w:jc w:val="left"/>
    </w:pPr>
    <w:rPr>
      <w:rFonts w:cs="Times New Roman"/>
      <w:kern w:val="0"/>
      <w:sz w:val="24"/>
    </w:rPr>
  </w:style>
  <w:style w:type="character" w:styleId="a4">
    <w:name w:val="Hyperlink"/>
    <w:basedOn w:val="a0"/>
    <w:autoRedefine/>
    <w:qFormat/>
    <w:rsid w:val="00892C6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4</DocSecurity>
  <Lines>31</Lines>
  <Paragraphs>8</Paragraphs>
  <ScaleCrop>false</ScaleCrop>
  <Company>CNSTOCK</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牛牛</dc:creator>
  <cp:lastModifiedBy>ZHONGM</cp:lastModifiedBy>
  <cp:revision>2</cp:revision>
  <dcterms:created xsi:type="dcterms:W3CDTF">2024-06-25T16:00:00Z</dcterms:created>
  <dcterms:modified xsi:type="dcterms:W3CDTF">2024-06-25T16:00:00Z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4A0EC9502CDF469D8F6BA535B574A519_13</vt:lpwstr>
  </property>
</Properties>
</file>