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8" w:rsidRDefault="00CF0D8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华泰柏瑞基金管理有限公司关于</w:t>
      </w:r>
    </w:p>
    <w:p w:rsidR="000056E8" w:rsidRDefault="00CF0D8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华泰柏瑞南方东英恒生科技指数交易型开放式指数证券投资基金（Q</w:t>
      </w:r>
      <w:r>
        <w:rPr>
          <w:rFonts w:ascii="仿宋" w:eastAsia="仿宋" w:hAnsi="仿宋"/>
          <w:b/>
          <w:sz w:val="28"/>
          <w:szCs w:val="28"/>
        </w:rPr>
        <w:t>DII</w:t>
      </w:r>
      <w:r>
        <w:rPr>
          <w:rFonts w:ascii="仿宋" w:eastAsia="仿宋" w:hAnsi="仿宋" w:hint="eastAsia"/>
          <w:b/>
          <w:sz w:val="28"/>
          <w:szCs w:val="28"/>
        </w:rPr>
        <w:t>）估值调整的公告</w:t>
      </w:r>
    </w:p>
    <w:p w:rsidR="000056E8" w:rsidRDefault="000056E8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0056E8" w:rsidRDefault="00CF0D8E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根据中国证券监督管理委员会公告【2</w:t>
      </w:r>
      <w:r>
        <w:rPr>
          <w:rFonts w:ascii="仿宋" w:eastAsia="仿宋" w:hAnsi="仿宋"/>
          <w:sz w:val="28"/>
          <w:szCs w:val="28"/>
        </w:rPr>
        <w:t>017</w:t>
      </w:r>
      <w:r>
        <w:rPr>
          <w:rFonts w:ascii="仿宋" w:eastAsia="仿宋" w:hAnsi="仿宋" w:hint="eastAsia"/>
          <w:sz w:val="28"/>
          <w:szCs w:val="28"/>
        </w:rPr>
        <w:t>】1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号《中国证监会关于证券投资基金估值业务的指导意见》和华泰柏瑞南方东英恒生科技指数交易型开放式指数证券投资基金（Q</w:t>
      </w:r>
      <w:r>
        <w:rPr>
          <w:rFonts w:ascii="仿宋" w:eastAsia="仿宋" w:hAnsi="仿宋"/>
          <w:sz w:val="28"/>
          <w:szCs w:val="28"/>
        </w:rPr>
        <w:t>DII</w:t>
      </w:r>
      <w:r>
        <w:rPr>
          <w:rFonts w:ascii="仿宋" w:eastAsia="仿宋" w:hAnsi="仿宋" w:hint="eastAsia"/>
          <w:sz w:val="28"/>
          <w:szCs w:val="28"/>
        </w:rPr>
        <w:t>）（场内简称：恒生科技，扩位证券简称：恒生科技ETF，基金代码：513130）基金合同等有关规定，为保护持有人利益，经基金管理人与基金托管人协商一致，对恒生科技E</w:t>
      </w:r>
      <w:r>
        <w:rPr>
          <w:rFonts w:ascii="仿宋" w:eastAsia="仿宋" w:hAnsi="仿宋"/>
          <w:sz w:val="28"/>
          <w:szCs w:val="28"/>
        </w:rPr>
        <w:t>TF</w:t>
      </w:r>
      <w:r>
        <w:rPr>
          <w:rFonts w:ascii="仿宋" w:eastAsia="仿宋" w:hAnsi="仿宋" w:hint="eastAsia"/>
          <w:sz w:val="28"/>
          <w:szCs w:val="28"/>
        </w:rPr>
        <w:t>所投资的</w:t>
      </w:r>
      <w:r>
        <w:rPr>
          <w:rFonts w:ascii="仿宋" w:eastAsia="仿宋" w:hAnsi="仿宋"/>
          <w:sz w:val="28"/>
          <w:szCs w:val="28"/>
        </w:rPr>
        <w:t>于香港联合交易所上市的南方东英恒生科技指数ETF</w:t>
      </w:r>
      <w:r>
        <w:rPr>
          <w:rFonts w:ascii="仿宋" w:eastAsia="仿宋" w:hAnsi="仿宋" w:hint="eastAsia"/>
          <w:sz w:val="28"/>
          <w:szCs w:val="28"/>
        </w:rPr>
        <w:t>（标的E</w:t>
      </w:r>
      <w:r>
        <w:rPr>
          <w:rFonts w:ascii="仿宋" w:eastAsia="仿宋" w:hAnsi="仿宋"/>
          <w:sz w:val="28"/>
          <w:szCs w:val="28"/>
        </w:rPr>
        <w:t>TF</w:t>
      </w:r>
      <w:r>
        <w:rPr>
          <w:rFonts w:ascii="仿宋" w:eastAsia="仿宋" w:hAnsi="仿宋" w:hint="eastAsia"/>
          <w:sz w:val="28"/>
          <w:szCs w:val="28"/>
        </w:rPr>
        <w:t>）按照“指数收益法”予以估值。</w:t>
      </w:r>
    </w:p>
    <w:p w:rsidR="000056E8" w:rsidRDefault="00CF0D8E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本公告仅针对2</w:t>
      </w:r>
      <w:r>
        <w:rPr>
          <w:rFonts w:ascii="仿宋" w:eastAsia="仿宋" w:hAnsi="仿宋"/>
          <w:sz w:val="28"/>
          <w:szCs w:val="28"/>
        </w:rPr>
        <w:t>024</w:t>
      </w:r>
      <w:r>
        <w:rPr>
          <w:rFonts w:ascii="仿宋" w:eastAsia="仿宋" w:hAnsi="仿宋" w:hint="eastAsia"/>
          <w:sz w:val="28"/>
          <w:szCs w:val="28"/>
        </w:rPr>
        <w:t>年</w:t>
      </w:r>
      <w:r w:rsidR="00EC32F9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5F2884"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日恒生科技E</w:t>
      </w:r>
      <w:r>
        <w:rPr>
          <w:rFonts w:ascii="仿宋" w:eastAsia="仿宋" w:hAnsi="仿宋"/>
          <w:sz w:val="28"/>
          <w:szCs w:val="28"/>
        </w:rPr>
        <w:t>TF</w:t>
      </w:r>
      <w:r>
        <w:rPr>
          <w:rFonts w:ascii="仿宋" w:eastAsia="仿宋" w:hAnsi="仿宋" w:hint="eastAsia"/>
          <w:sz w:val="28"/>
          <w:szCs w:val="28"/>
        </w:rPr>
        <w:t>的估值调整事项予以说明。恒生科技E</w:t>
      </w:r>
      <w:r>
        <w:rPr>
          <w:rFonts w:ascii="仿宋" w:eastAsia="仿宋" w:hAnsi="仿宋"/>
          <w:sz w:val="28"/>
          <w:szCs w:val="28"/>
        </w:rPr>
        <w:t>TF</w:t>
      </w:r>
      <w:r>
        <w:rPr>
          <w:rFonts w:ascii="仿宋" w:eastAsia="仿宋" w:hAnsi="仿宋" w:hint="eastAsia"/>
          <w:sz w:val="28"/>
          <w:szCs w:val="28"/>
        </w:rPr>
        <w:t>的联接基金按照基金合同规定，采用目标</w:t>
      </w:r>
      <w:r>
        <w:rPr>
          <w:rFonts w:ascii="仿宋" w:eastAsia="仿宋" w:hAnsi="仿宋"/>
          <w:sz w:val="28"/>
          <w:szCs w:val="28"/>
        </w:rPr>
        <w:t>ETF</w:t>
      </w:r>
      <w:r>
        <w:rPr>
          <w:rFonts w:ascii="仿宋" w:eastAsia="仿宋" w:hAnsi="仿宋" w:hint="eastAsia"/>
          <w:sz w:val="28"/>
          <w:szCs w:val="28"/>
        </w:rPr>
        <w:t>估值调整后的净值进行估值。</w:t>
      </w:r>
    </w:p>
    <w:p w:rsidR="000056E8" w:rsidRDefault="00CF0D8E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本公司承诺以诚实信用、勤勉尽责的原则管理和运用基金资产， 但不保证基金一定盈利，也不保证最低收益。敬请投资人注意投资风险。投资者投资于上述基金前应认真阅读基金的基金合同、更新的招募说明书</w:t>
      </w:r>
      <w:r w:rsidR="004166CC">
        <w:rPr>
          <w:rFonts w:ascii="仿宋" w:eastAsia="仿宋" w:hAnsi="仿宋" w:hint="eastAsia"/>
          <w:sz w:val="28"/>
          <w:szCs w:val="28"/>
        </w:rPr>
        <w:t>等法律文件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056E8" w:rsidRDefault="00CF0D8E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0056E8" w:rsidRDefault="00CF0D8E">
      <w:pPr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>华泰柏瑞基金管理有限公司</w:t>
      </w:r>
    </w:p>
    <w:p w:rsidR="000056E8" w:rsidRDefault="00CF0D8E">
      <w:pPr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024</w:t>
      </w:r>
      <w:r>
        <w:rPr>
          <w:rFonts w:ascii="仿宋" w:eastAsia="仿宋" w:hAnsi="仿宋" w:hint="eastAsia"/>
          <w:sz w:val="28"/>
          <w:szCs w:val="28"/>
        </w:rPr>
        <w:t>年</w:t>
      </w:r>
      <w:r w:rsidR="00EC32F9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5F2884">
        <w:rPr>
          <w:rFonts w:ascii="仿宋" w:eastAsia="仿宋" w:hAnsi="仿宋"/>
          <w:sz w:val="28"/>
          <w:szCs w:val="28"/>
        </w:rPr>
        <w:t>26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0056E8" w:rsidSect="005E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61" w:rsidRDefault="00FD0B61" w:rsidP="00BE52CC">
      <w:r>
        <w:separator/>
      </w:r>
    </w:p>
  </w:endnote>
  <w:endnote w:type="continuationSeparator" w:id="0">
    <w:p w:rsidR="00FD0B61" w:rsidRDefault="00FD0B61" w:rsidP="00BE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61" w:rsidRDefault="00FD0B61" w:rsidP="00BE52CC">
      <w:r>
        <w:separator/>
      </w:r>
    </w:p>
  </w:footnote>
  <w:footnote w:type="continuationSeparator" w:id="0">
    <w:p w:rsidR="00FD0B61" w:rsidRDefault="00FD0B61" w:rsidP="00BE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xZWVjYTVkYjNiZWZjZTRlNTdjYmRiYmJiM2FlMGIifQ=="/>
  </w:docVars>
  <w:rsids>
    <w:rsidRoot w:val="00FA6819"/>
    <w:rsid w:val="000056E8"/>
    <w:rsid w:val="00142FA0"/>
    <w:rsid w:val="0034008A"/>
    <w:rsid w:val="004166CC"/>
    <w:rsid w:val="0054615B"/>
    <w:rsid w:val="005E0065"/>
    <w:rsid w:val="005F2884"/>
    <w:rsid w:val="007833B9"/>
    <w:rsid w:val="00B21560"/>
    <w:rsid w:val="00BE52CC"/>
    <w:rsid w:val="00CF0D8E"/>
    <w:rsid w:val="00CF46F1"/>
    <w:rsid w:val="00EA3226"/>
    <w:rsid w:val="00EC32F9"/>
    <w:rsid w:val="00FA6819"/>
    <w:rsid w:val="00FD0B61"/>
    <w:rsid w:val="132458A0"/>
    <w:rsid w:val="31CC25A8"/>
    <w:rsid w:val="549C606E"/>
    <w:rsid w:val="7D5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2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2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4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柳军(Liu Jun)</dc:creator>
  <cp:lastModifiedBy>ZHONGM</cp:lastModifiedBy>
  <cp:revision>2</cp:revision>
  <dcterms:created xsi:type="dcterms:W3CDTF">2024-06-25T16:01:00Z</dcterms:created>
  <dcterms:modified xsi:type="dcterms:W3CDTF">2024-06-25T16:01:00Z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0F6A8307A32E473D91548C094036A0F3</vt:lpwstr>
  </property>
</Properties>
</file>