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DC" w:rsidRDefault="00324D86">
      <w:pPr>
        <w:widowControl/>
        <w:snapToGrid w:val="0"/>
        <w:spacing w:line="440" w:lineRule="exact"/>
        <w:jc w:val="center"/>
        <w:rPr>
          <w:rFonts w:ascii="宋体" w:hAnsi="宋体"/>
          <w:b/>
          <w:kern w:val="0"/>
          <w:sz w:val="30"/>
          <w:szCs w:val="30"/>
        </w:rPr>
      </w:pPr>
      <w:r w:rsidRPr="0074427A">
        <w:rPr>
          <w:rFonts w:ascii="宋体" w:hAnsi="宋体" w:hint="eastAsia"/>
          <w:b/>
          <w:kern w:val="0"/>
          <w:sz w:val="30"/>
          <w:szCs w:val="30"/>
        </w:rPr>
        <w:t>易方达基金管理有限公司</w:t>
      </w:r>
      <w:r>
        <w:rPr>
          <w:rFonts w:ascii="宋体" w:hAnsi="宋体"/>
          <w:b/>
          <w:kern w:val="0"/>
          <w:sz w:val="30"/>
          <w:szCs w:val="30"/>
        </w:rPr>
        <w:br/>
      </w:r>
      <w:r>
        <w:rPr>
          <w:rFonts w:ascii="宋体" w:hAnsi="宋体" w:hint="eastAsia"/>
          <w:b/>
          <w:kern w:val="0"/>
          <w:sz w:val="30"/>
          <w:szCs w:val="30"/>
        </w:rPr>
        <w:t>关于调整证券投资基金主流动性服务商的公告</w:t>
      </w:r>
    </w:p>
    <w:p w:rsidR="003232DC" w:rsidRDefault="003232DC">
      <w:pPr>
        <w:widowControl/>
        <w:snapToGrid w:val="0"/>
        <w:spacing w:line="440" w:lineRule="exact"/>
        <w:ind w:firstLine="600"/>
        <w:jc w:val="center"/>
        <w:rPr>
          <w:rFonts w:ascii="宋体" w:hAnsi="宋体"/>
          <w:kern w:val="0"/>
          <w:sz w:val="30"/>
          <w:szCs w:val="30"/>
        </w:rPr>
      </w:pPr>
    </w:p>
    <w:p w:rsidR="003232DC" w:rsidRDefault="00324D86">
      <w:pPr>
        <w:spacing w:line="440" w:lineRule="exact"/>
        <w:ind w:firstLine="420"/>
        <w:rPr>
          <w:rFonts w:ascii="宋体" w:hAnsi="宋体"/>
          <w:szCs w:val="21"/>
        </w:rPr>
      </w:pPr>
      <w:r>
        <w:rPr>
          <w:rFonts w:ascii="宋体" w:hAnsi="宋体" w:hint="eastAsia"/>
          <w:szCs w:val="21"/>
        </w:rPr>
        <w:t>根据《深圳证券交易所证券投资基金业务指引第</w:t>
      </w:r>
      <w:r>
        <w:rPr>
          <w:rFonts w:ascii="宋体" w:hAnsi="宋体" w:hint="eastAsia"/>
          <w:szCs w:val="21"/>
        </w:rPr>
        <w:t>2</w:t>
      </w:r>
      <w:r>
        <w:rPr>
          <w:rFonts w:ascii="宋体" w:hAnsi="宋体" w:hint="eastAsia"/>
          <w:szCs w:val="21"/>
        </w:rPr>
        <w:t>号——流动性服务》等有关规定，自</w:t>
      </w:r>
      <w:r w:rsidR="00022555">
        <w:rPr>
          <w:rFonts w:ascii="宋体" w:hAnsi="宋体"/>
          <w:szCs w:val="21"/>
        </w:rPr>
        <w:t>2024</w:t>
      </w:r>
      <w:r w:rsidR="00022555">
        <w:rPr>
          <w:rFonts w:ascii="宋体" w:hAnsi="宋体" w:hint="eastAsia"/>
          <w:szCs w:val="21"/>
        </w:rPr>
        <w:t>年</w:t>
      </w:r>
      <w:r w:rsidR="00022555">
        <w:rPr>
          <w:rFonts w:ascii="宋体" w:hAnsi="宋体"/>
          <w:szCs w:val="21"/>
        </w:rPr>
        <w:t>6</w:t>
      </w:r>
      <w:r>
        <w:rPr>
          <w:rFonts w:ascii="宋体" w:hAnsi="宋体" w:hint="eastAsia"/>
          <w:szCs w:val="21"/>
        </w:rPr>
        <w:t>月</w:t>
      </w:r>
      <w:r>
        <w:rPr>
          <w:rFonts w:ascii="宋体" w:hAnsi="宋体"/>
          <w:szCs w:val="21"/>
        </w:rPr>
        <w:t>21</w:t>
      </w:r>
      <w:r>
        <w:rPr>
          <w:rFonts w:ascii="宋体" w:hAnsi="宋体" w:hint="eastAsia"/>
          <w:szCs w:val="21"/>
        </w:rPr>
        <w:t>日起，本公司将下列证券投资基金的主流动性服务商调整为一般流动性服务商：</w:t>
      </w:r>
    </w:p>
    <w:p w:rsidR="003232DC" w:rsidRDefault="00324D86">
      <w:pPr>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rPr>
        <w:t>、</w:t>
      </w:r>
      <w:r w:rsidRPr="0075251D">
        <w:rPr>
          <w:rFonts w:ascii="宋体" w:hAnsi="宋体" w:hint="eastAsia"/>
          <w:szCs w:val="21"/>
        </w:rPr>
        <w:t>易方达中证</w:t>
      </w:r>
      <w:r w:rsidRPr="0075251D">
        <w:rPr>
          <w:rFonts w:ascii="宋体" w:hAnsi="宋体" w:hint="eastAsia"/>
          <w:szCs w:val="21"/>
        </w:rPr>
        <w:t>1000</w:t>
      </w:r>
      <w:r w:rsidRPr="0075251D">
        <w:rPr>
          <w:rFonts w:ascii="宋体" w:hAnsi="宋体" w:hint="eastAsia"/>
          <w:szCs w:val="21"/>
        </w:rPr>
        <w:t>交易型开放式指数证券投资基金</w:t>
      </w:r>
      <w:r w:rsidRPr="0074427A">
        <w:rPr>
          <w:rFonts w:ascii="宋体" w:hAnsi="宋体" w:hint="eastAsia"/>
          <w:szCs w:val="21"/>
        </w:rPr>
        <w:t>（</w:t>
      </w:r>
      <w:r>
        <w:rPr>
          <w:rFonts w:ascii="宋体" w:hAnsi="宋体"/>
          <w:szCs w:val="21"/>
        </w:rPr>
        <w:t>159633</w:t>
      </w:r>
      <w:r w:rsidRPr="0074427A">
        <w:rPr>
          <w:rFonts w:ascii="宋体" w:hAnsi="宋体" w:hint="eastAsia"/>
          <w:szCs w:val="21"/>
        </w:rPr>
        <w:t>）</w:t>
      </w:r>
      <w:r>
        <w:rPr>
          <w:rFonts w:ascii="宋体" w:hAnsi="宋体" w:hint="eastAsia"/>
          <w:szCs w:val="21"/>
        </w:rPr>
        <w:t>：</w:t>
      </w:r>
    </w:p>
    <w:p w:rsidR="0075251D" w:rsidRDefault="00324D86" w:rsidP="0075251D">
      <w:pPr>
        <w:spacing w:line="440" w:lineRule="exact"/>
        <w:rPr>
          <w:rFonts w:ascii="宋体" w:hAnsi="宋体"/>
          <w:szCs w:val="21"/>
        </w:rPr>
      </w:pPr>
      <w:r>
        <w:rPr>
          <w:rFonts w:ascii="宋体" w:hAnsi="宋体" w:hint="eastAsia"/>
          <w:szCs w:val="21"/>
        </w:rPr>
        <w:t xml:space="preserve">      </w:t>
      </w:r>
      <w:r w:rsidR="00022555">
        <w:rPr>
          <w:rFonts w:ascii="宋体" w:hAnsi="宋体" w:hint="eastAsia"/>
          <w:szCs w:val="21"/>
        </w:rPr>
        <w:t>广发</w:t>
      </w:r>
      <w:r w:rsidRPr="0074427A">
        <w:rPr>
          <w:rFonts w:ascii="宋体" w:hAnsi="宋体" w:hint="eastAsia"/>
          <w:szCs w:val="21"/>
        </w:rPr>
        <w:t>证券股份有限公司</w:t>
      </w:r>
      <w:bookmarkStart w:id="0" w:name="_GoBack"/>
      <w:bookmarkEnd w:id="0"/>
    </w:p>
    <w:p w:rsidR="00773732" w:rsidRDefault="00324D86" w:rsidP="00773732">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sidRPr="0075251D">
        <w:rPr>
          <w:rFonts w:ascii="宋体" w:hAnsi="宋体" w:hint="eastAsia"/>
          <w:szCs w:val="21"/>
        </w:rPr>
        <w:t>易方达中证人工智能主题交易型开放式指数证券投资基金</w:t>
      </w:r>
      <w:r w:rsidRPr="0074427A">
        <w:rPr>
          <w:rFonts w:ascii="宋体" w:hAnsi="宋体" w:hint="eastAsia"/>
          <w:szCs w:val="21"/>
        </w:rPr>
        <w:t>（</w:t>
      </w:r>
      <w:r>
        <w:rPr>
          <w:rFonts w:ascii="宋体" w:hAnsi="宋体"/>
          <w:szCs w:val="21"/>
        </w:rPr>
        <w:t>159819</w:t>
      </w:r>
      <w:r w:rsidRPr="0074427A">
        <w:rPr>
          <w:rFonts w:ascii="宋体" w:hAnsi="宋体" w:hint="eastAsia"/>
          <w:szCs w:val="21"/>
        </w:rPr>
        <w:t>）</w:t>
      </w:r>
      <w:r>
        <w:rPr>
          <w:rFonts w:ascii="宋体" w:hAnsi="宋体" w:hint="eastAsia"/>
          <w:szCs w:val="21"/>
        </w:rPr>
        <w:t>：</w:t>
      </w:r>
    </w:p>
    <w:p w:rsidR="00773732" w:rsidRDefault="00324D86" w:rsidP="00773732">
      <w:pPr>
        <w:spacing w:line="440" w:lineRule="exact"/>
        <w:rPr>
          <w:rFonts w:ascii="宋体" w:hAnsi="宋体"/>
          <w:szCs w:val="21"/>
        </w:rPr>
      </w:pPr>
      <w:r>
        <w:rPr>
          <w:rFonts w:ascii="宋体" w:hAnsi="宋体" w:hint="eastAsia"/>
          <w:szCs w:val="21"/>
        </w:rPr>
        <w:t xml:space="preserve">      </w:t>
      </w:r>
      <w:r w:rsidR="00022555" w:rsidRPr="00022555">
        <w:rPr>
          <w:rFonts w:ascii="宋体" w:hAnsi="宋体" w:hint="eastAsia"/>
          <w:szCs w:val="21"/>
        </w:rPr>
        <w:t>中国国际金融股份有限公司</w:t>
      </w:r>
    </w:p>
    <w:p w:rsidR="00022555" w:rsidRDefault="00324D86" w:rsidP="00022555">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sidRPr="00022555">
        <w:rPr>
          <w:rFonts w:ascii="宋体" w:hAnsi="宋体" w:hint="eastAsia"/>
          <w:szCs w:val="21"/>
        </w:rPr>
        <w:t>易方达深证</w:t>
      </w:r>
      <w:r w:rsidRPr="00022555">
        <w:rPr>
          <w:rFonts w:ascii="宋体" w:hAnsi="宋体" w:hint="eastAsia"/>
          <w:szCs w:val="21"/>
        </w:rPr>
        <w:t>100</w:t>
      </w:r>
      <w:r w:rsidRPr="00022555">
        <w:rPr>
          <w:rFonts w:ascii="宋体" w:hAnsi="宋体" w:hint="eastAsia"/>
          <w:szCs w:val="21"/>
        </w:rPr>
        <w:t>交易型开放式指数证券投资基金</w:t>
      </w:r>
      <w:r w:rsidRPr="0074427A">
        <w:rPr>
          <w:rFonts w:ascii="宋体" w:hAnsi="宋体" w:hint="eastAsia"/>
          <w:szCs w:val="21"/>
        </w:rPr>
        <w:t>（</w:t>
      </w:r>
      <w:r>
        <w:rPr>
          <w:rFonts w:ascii="宋体" w:hAnsi="宋体"/>
          <w:szCs w:val="21"/>
        </w:rPr>
        <w:t>159901</w:t>
      </w:r>
      <w:r w:rsidRPr="0074427A">
        <w:rPr>
          <w:rFonts w:ascii="宋体" w:hAnsi="宋体" w:hint="eastAsia"/>
          <w:szCs w:val="21"/>
        </w:rPr>
        <w:t>）</w:t>
      </w:r>
      <w:r>
        <w:rPr>
          <w:rFonts w:ascii="宋体" w:hAnsi="宋体" w:hint="eastAsia"/>
          <w:szCs w:val="21"/>
        </w:rPr>
        <w:t>：</w:t>
      </w:r>
    </w:p>
    <w:p w:rsidR="00022555" w:rsidRDefault="00324D86" w:rsidP="00022555">
      <w:pPr>
        <w:spacing w:line="440" w:lineRule="exact"/>
        <w:rPr>
          <w:rFonts w:ascii="宋体" w:hAnsi="宋体"/>
          <w:szCs w:val="21"/>
        </w:rPr>
      </w:pPr>
      <w:r>
        <w:rPr>
          <w:rFonts w:ascii="宋体" w:hAnsi="宋体" w:hint="eastAsia"/>
          <w:szCs w:val="21"/>
        </w:rPr>
        <w:t xml:space="preserve">      </w:t>
      </w:r>
      <w:r w:rsidRPr="00022555">
        <w:rPr>
          <w:rFonts w:ascii="宋体" w:hAnsi="宋体" w:hint="eastAsia"/>
          <w:szCs w:val="21"/>
        </w:rPr>
        <w:t>华泰证券股份有限公司</w:t>
      </w:r>
    </w:p>
    <w:p w:rsidR="003232DC" w:rsidRPr="00022555" w:rsidRDefault="003232DC" w:rsidP="0074427A">
      <w:pPr>
        <w:spacing w:line="440" w:lineRule="exact"/>
        <w:rPr>
          <w:rFonts w:ascii="宋体" w:hAnsi="宋体"/>
          <w:szCs w:val="21"/>
        </w:rPr>
      </w:pPr>
    </w:p>
    <w:p w:rsidR="003232DC" w:rsidRDefault="00324D86">
      <w:pPr>
        <w:spacing w:line="440" w:lineRule="exact"/>
        <w:ind w:firstLine="420"/>
        <w:jc w:val="left"/>
        <w:rPr>
          <w:rFonts w:ascii="宋体" w:hAnsi="宋体"/>
          <w:szCs w:val="21"/>
        </w:rPr>
      </w:pPr>
      <w:r>
        <w:rPr>
          <w:rFonts w:ascii="宋体" w:hAnsi="宋体" w:hint="eastAsia"/>
          <w:szCs w:val="21"/>
        </w:rPr>
        <w:t>特此公告。</w:t>
      </w:r>
    </w:p>
    <w:p w:rsidR="003232DC" w:rsidRDefault="00324D86">
      <w:pPr>
        <w:spacing w:line="440" w:lineRule="exact"/>
        <w:ind w:firstLine="420"/>
        <w:jc w:val="right"/>
        <w:rPr>
          <w:rFonts w:ascii="宋体" w:hAnsi="宋体"/>
          <w:szCs w:val="21"/>
        </w:rPr>
      </w:pPr>
      <w:r>
        <w:rPr>
          <w:rFonts w:ascii="宋体" w:hAnsi="宋体" w:hint="eastAsia"/>
          <w:szCs w:val="21"/>
        </w:rPr>
        <w:t xml:space="preserve"> </w:t>
      </w:r>
    </w:p>
    <w:p w:rsidR="003232DC" w:rsidRDefault="00324D86">
      <w:pPr>
        <w:spacing w:line="440" w:lineRule="exact"/>
        <w:ind w:firstLine="420"/>
        <w:jc w:val="right"/>
        <w:rPr>
          <w:rFonts w:ascii="宋体" w:hAnsi="宋体"/>
          <w:szCs w:val="21"/>
        </w:rPr>
      </w:pPr>
      <w:r w:rsidRPr="0074427A">
        <w:rPr>
          <w:rFonts w:ascii="宋体" w:hAnsi="宋体" w:hint="eastAsia"/>
          <w:szCs w:val="21"/>
        </w:rPr>
        <w:t>易方达</w:t>
      </w:r>
      <w:r>
        <w:rPr>
          <w:rFonts w:ascii="宋体" w:hAnsi="宋体" w:hint="eastAsia"/>
          <w:szCs w:val="21"/>
        </w:rPr>
        <w:t>基金管理有限公司</w:t>
      </w:r>
    </w:p>
    <w:p w:rsidR="003232DC" w:rsidRDefault="00324D86">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6</w:t>
      </w:r>
      <w:r w:rsidR="0075251D">
        <w:rPr>
          <w:rFonts w:ascii="宋体" w:hAnsi="宋体" w:hint="eastAsia"/>
          <w:szCs w:val="21"/>
        </w:rPr>
        <w:t>月</w:t>
      </w:r>
      <w:r>
        <w:rPr>
          <w:rFonts w:ascii="宋体" w:hAnsi="宋体"/>
          <w:szCs w:val="21"/>
        </w:rPr>
        <w:t>25</w:t>
      </w:r>
      <w:r w:rsidR="0075251D">
        <w:rPr>
          <w:rFonts w:ascii="宋体" w:hAnsi="宋体" w:hint="eastAsia"/>
          <w:szCs w:val="21"/>
        </w:rPr>
        <w:t>日</w:t>
      </w:r>
    </w:p>
    <w:sectPr w:rsidR="003232DC" w:rsidSect="007825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32DC"/>
    <w:rsid w:val="00022555"/>
    <w:rsid w:val="003232DC"/>
    <w:rsid w:val="00324D86"/>
    <w:rsid w:val="004F0CB0"/>
    <w:rsid w:val="0074427A"/>
    <w:rsid w:val="0075251D"/>
    <w:rsid w:val="00773732"/>
    <w:rsid w:val="0078256C"/>
    <w:rsid w:val="00B300E3"/>
    <w:rsid w:val="00CF2021"/>
    <w:rsid w:val="00EE25D0"/>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56C"/>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78256C"/>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8256C"/>
    <w:pPr>
      <w:jc w:val="left"/>
    </w:pPr>
  </w:style>
  <w:style w:type="paragraph" w:styleId="a4">
    <w:name w:val="footnote text"/>
    <w:basedOn w:val="a"/>
    <w:semiHidden/>
    <w:unhideWhenUsed/>
    <w:qFormat/>
    <w:rsid w:val="0078256C"/>
    <w:pPr>
      <w:snapToGrid w:val="0"/>
      <w:jc w:val="left"/>
    </w:pPr>
    <w:rPr>
      <w:sz w:val="18"/>
    </w:rPr>
  </w:style>
  <w:style w:type="character" w:styleId="a5">
    <w:name w:val="footnote reference"/>
    <w:basedOn w:val="a0"/>
    <w:semiHidden/>
    <w:unhideWhenUsed/>
    <w:qFormat/>
    <w:rsid w:val="0078256C"/>
    <w:rPr>
      <w:vertAlign w:val="superscript"/>
    </w:rPr>
  </w:style>
  <w:style w:type="paragraph" w:styleId="a6">
    <w:name w:val="Balloon Text"/>
    <w:basedOn w:val="a"/>
    <w:link w:val="Char"/>
    <w:rsid w:val="0075251D"/>
    <w:rPr>
      <w:sz w:val="18"/>
      <w:szCs w:val="18"/>
    </w:rPr>
  </w:style>
  <w:style w:type="character" w:customStyle="1" w:styleId="Char">
    <w:name w:val="批注框文本 Char"/>
    <w:basedOn w:val="a0"/>
    <w:link w:val="a6"/>
    <w:rsid w:val="0075251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4</DocSecurity>
  <Lines>2</Lines>
  <Paragraphs>1</Paragraphs>
  <ScaleCrop>false</ScaleCrop>
  <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2024-06-24T16:02:00Z</dcterms:created>
  <dcterms:modified xsi:type="dcterms:W3CDTF">2024-06-24T16:02:00Z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F9F4F079D4DB429AA0DBCD136EE1440C</vt:lpwstr>
  </property>
  <property fmtid="{D5CDD505-2E9C-101B-9397-08002B2CF9AE}" pid="3" name="KSOProductBuildVer">
    <vt:lpwstr>2052-11.8.2.12094</vt:lpwstr>
  </property>
</Properties>
</file>