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10" w:rsidRPr="00CC214E" w:rsidRDefault="00CC214E">
      <w:pPr>
        <w:widowControl/>
        <w:snapToGrid w:val="0"/>
        <w:spacing w:line="440" w:lineRule="exact"/>
        <w:jc w:val="center"/>
        <w:rPr>
          <w:b/>
          <w:kern w:val="0"/>
          <w:sz w:val="30"/>
          <w:szCs w:val="30"/>
        </w:rPr>
      </w:pPr>
      <w:r w:rsidRPr="005C15E1">
        <w:rPr>
          <w:b/>
          <w:kern w:val="0"/>
          <w:sz w:val="30"/>
          <w:szCs w:val="30"/>
        </w:rPr>
        <w:t>国泰基金管理有限公司</w:t>
      </w:r>
      <w:r w:rsidR="00E811F7" w:rsidRPr="00CC214E">
        <w:rPr>
          <w:b/>
          <w:kern w:val="0"/>
          <w:sz w:val="30"/>
          <w:szCs w:val="30"/>
        </w:rPr>
        <w:t>关于调整证券投资基金主流动性服务商的公告</w:t>
      </w:r>
    </w:p>
    <w:p w:rsidR="00CF1610" w:rsidRPr="00CC214E" w:rsidRDefault="00CF1610">
      <w:pPr>
        <w:widowControl/>
        <w:snapToGrid w:val="0"/>
        <w:spacing w:line="440" w:lineRule="exact"/>
        <w:ind w:firstLine="600"/>
        <w:jc w:val="center"/>
        <w:rPr>
          <w:kern w:val="0"/>
          <w:sz w:val="30"/>
          <w:szCs w:val="30"/>
        </w:rPr>
      </w:pPr>
    </w:p>
    <w:p w:rsidR="00CF1610" w:rsidRPr="00CC214E" w:rsidRDefault="00E811F7" w:rsidP="00F568F1">
      <w:pPr>
        <w:spacing w:line="440" w:lineRule="exact"/>
        <w:ind w:firstLine="420"/>
        <w:rPr>
          <w:szCs w:val="21"/>
        </w:rPr>
      </w:pPr>
      <w:r w:rsidRPr="00CC214E">
        <w:rPr>
          <w:szCs w:val="21"/>
        </w:rPr>
        <w:t>根据《深圳证券交易所证券投资基金业务指引第</w:t>
      </w:r>
      <w:r w:rsidRPr="00CC214E">
        <w:rPr>
          <w:szCs w:val="21"/>
        </w:rPr>
        <w:t>2</w:t>
      </w:r>
      <w:r w:rsidRPr="00CC214E">
        <w:rPr>
          <w:szCs w:val="21"/>
        </w:rPr>
        <w:t>号</w:t>
      </w:r>
      <w:r w:rsidRPr="00CC214E">
        <w:rPr>
          <w:szCs w:val="21"/>
        </w:rPr>
        <w:t>——</w:t>
      </w:r>
      <w:r w:rsidRPr="00CC214E">
        <w:rPr>
          <w:szCs w:val="21"/>
        </w:rPr>
        <w:t>流动性服务》等有关规定，自</w:t>
      </w:r>
      <w:r w:rsidR="00AB3907" w:rsidRPr="00CC214E">
        <w:rPr>
          <w:szCs w:val="21"/>
        </w:rPr>
        <w:t>2024</w:t>
      </w:r>
      <w:r w:rsidR="00AB3907" w:rsidRPr="00CC214E">
        <w:rPr>
          <w:szCs w:val="21"/>
        </w:rPr>
        <w:t>年</w:t>
      </w:r>
      <w:r w:rsidR="00021E93">
        <w:rPr>
          <w:szCs w:val="21"/>
        </w:rPr>
        <w:t>6</w:t>
      </w:r>
      <w:r w:rsidR="00AB3907" w:rsidRPr="00CC214E">
        <w:rPr>
          <w:szCs w:val="21"/>
        </w:rPr>
        <w:t>月</w:t>
      </w:r>
      <w:r w:rsidR="00AB3907">
        <w:rPr>
          <w:szCs w:val="21"/>
        </w:rPr>
        <w:t>21</w:t>
      </w:r>
      <w:r w:rsidRPr="00CC214E">
        <w:rPr>
          <w:szCs w:val="21"/>
        </w:rPr>
        <w:t>日起，本公司将下列证券投资基金的主流动性服务商调整为一般流动性服务商：</w:t>
      </w:r>
    </w:p>
    <w:p w:rsidR="00CF1610" w:rsidRPr="00CC214E" w:rsidRDefault="00E811F7" w:rsidP="00F568F1">
      <w:pPr>
        <w:spacing w:line="440" w:lineRule="exact"/>
        <w:ind w:firstLineChars="200" w:firstLine="420"/>
        <w:rPr>
          <w:szCs w:val="21"/>
        </w:rPr>
      </w:pPr>
      <w:r w:rsidRPr="00CC214E">
        <w:rPr>
          <w:szCs w:val="21"/>
        </w:rPr>
        <w:t>1</w:t>
      </w:r>
      <w:r w:rsidRPr="00CC214E">
        <w:rPr>
          <w:szCs w:val="21"/>
        </w:rPr>
        <w:t>、</w:t>
      </w:r>
      <w:r w:rsidR="00021E93" w:rsidRPr="00021E93">
        <w:rPr>
          <w:rFonts w:hint="eastAsia"/>
          <w:szCs w:val="21"/>
        </w:rPr>
        <w:t>国泰中证半导体材料设备主题交易型开放式指数证券投资基金</w:t>
      </w:r>
      <w:r w:rsidR="00570F0A">
        <w:rPr>
          <w:szCs w:val="21"/>
        </w:rPr>
        <w:t>（</w:t>
      </w:r>
      <w:r w:rsidR="00021E93" w:rsidRPr="00021E93">
        <w:rPr>
          <w:szCs w:val="21"/>
        </w:rPr>
        <w:t>159516</w:t>
      </w:r>
      <w:r w:rsidRPr="00CC214E">
        <w:rPr>
          <w:szCs w:val="21"/>
        </w:rPr>
        <w:t>）：</w:t>
      </w:r>
    </w:p>
    <w:p w:rsidR="00CF1610" w:rsidRPr="00CC214E" w:rsidRDefault="00773DC1" w:rsidP="00F568F1">
      <w:pPr>
        <w:spacing w:line="440" w:lineRule="exact"/>
        <w:ind w:firstLineChars="270" w:firstLine="567"/>
        <w:rPr>
          <w:szCs w:val="21"/>
        </w:rPr>
      </w:pPr>
      <w:r w:rsidRPr="00CC214E">
        <w:rPr>
          <w:szCs w:val="21"/>
        </w:rPr>
        <w:t>中信证券股份有限公司</w:t>
      </w:r>
    </w:p>
    <w:p w:rsidR="00021E93" w:rsidRPr="00CC214E" w:rsidRDefault="00021E93" w:rsidP="00F568F1">
      <w:pPr>
        <w:spacing w:line="440" w:lineRule="exact"/>
        <w:ind w:firstLineChars="200" w:firstLine="420"/>
        <w:rPr>
          <w:szCs w:val="21"/>
        </w:rPr>
      </w:pPr>
      <w:r>
        <w:rPr>
          <w:szCs w:val="21"/>
        </w:rPr>
        <w:t>2</w:t>
      </w:r>
      <w:r w:rsidRPr="00CC214E">
        <w:rPr>
          <w:szCs w:val="21"/>
        </w:rPr>
        <w:t>、</w:t>
      </w:r>
      <w:r w:rsidRPr="00021E93">
        <w:rPr>
          <w:rFonts w:hint="eastAsia"/>
          <w:szCs w:val="21"/>
        </w:rPr>
        <w:t>国泰国证信息技术创新主题交易型开放式指数证券投资基金</w:t>
      </w:r>
      <w:r>
        <w:rPr>
          <w:szCs w:val="21"/>
        </w:rPr>
        <w:t>（</w:t>
      </w:r>
      <w:r w:rsidRPr="00021E93">
        <w:rPr>
          <w:szCs w:val="21"/>
        </w:rPr>
        <w:t>159537</w:t>
      </w:r>
      <w:r w:rsidRPr="00CC214E">
        <w:rPr>
          <w:szCs w:val="21"/>
        </w:rPr>
        <w:t>）：</w:t>
      </w:r>
    </w:p>
    <w:p w:rsidR="00773DC1" w:rsidRDefault="00021E93" w:rsidP="00F568F1">
      <w:pPr>
        <w:spacing w:line="440" w:lineRule="exact"/>
        <w:ind w:firstLineChars="270" w:firstLine="567"/>
        <w:rPr>
          <w:szCs w:val="21"/>
        </w:rPr>
      </w:pPr>
      <w:r w:rsidRPr="00CC214E">
        <w:rPr>
          <w:szCs w:val="21"/>
        </w:rPr>
        <w:t>中信证券股份有限公司</w:t>
      </w:r>
    </w:p>
    <w:p w:rsidR="00021E93" w:rsidRDefault="00021E93" w:rsidP="00F568F1">
      <w:pPr>
        <w:spacing w:line="440" w:lineRule="exact"/>
        <w:ind w:firstLine="420"/>
        <w:rPr>
          <w:szCs w:val="21"/>
        </w:rPr>
      </w:pPr>
      <w:r>
        <w:rPr>
          <w:rFonts w:hint="eastAsia"/>
          <w:szCs w:val="21"/>
        </w:rPr>
        <w:t>3</w:t>
      </w:r>
      <w:r>
        <w:rPr>
          <w:rFonts w:hint="eastAsia"/>
          <w:szCs w:val="21"/>
        </w:rPr>
        <w:t>、</w:t>
      </w:r>
      <w:r w:rsidRPr="00021E93">
        <w:rPr>
          <w:rFonts w:hint="eastAsia"/>
          <w:szCs w:val="21"/>
        </w:rPr>
        <w:t>国泰标普</w:t>
      </w:r>
      <w:r w:rsidRPr="00021E93">
        <w:rPr>
          <w:rFonts w:hint="eastAsia"/>
          <w:szCs w:val="21"/>
        </w:rPr>
        <w:t>500</w:t>
      </w:r>
      <w:r w:rsidRPr="00021E93">
        <w:rPr>
          <w:rFonts w:hint="eastAsia"/>
          <w:szCs w:val="21"/>
        </w:rPr>
        <w:t>交易型开放式指数证券投资基金（</w:t>
      </w:r>
      <w:r w:rsidRPr="00021E93">
        <w:rPr>
          <w:rFonts w:hint="eastAsia"/>
          <w:szCs w:val="21"/>
        </w:rPr>
        <w:t>QDII</w:t>
      </w:r>
      <w:r w:rsidRPr="00021E93">
        <w:rPr>
          <w:rFonts w:hint="eastAsia"/>
          <w:szCs w:val="21"/>
        </w:rPr>
        <w:t>）</w:t>
      </w:r>
      <w:r>
        <w:rPr>
          <w:rFonts w:hint="eastAsia"/>
          <w:szCs w:val="21"/>
        </w:rPr>
        <w:t>（</w:t>
      </w:r>
      <w:r w:rsidRPr="00021E93">
        <w:rPr>
          <w:szCs w:val="21"/>
        </w:rPr>
        <w:t>159612</w:t>
      </w:r>
      <w:r>
        <w:rPr>
          <w:rFonts w:hint="eastAsia"/>
          <w:szCs w:val="21"/>
        </w:rPr>
        <w:t>）</w:t>
      </w:r>
      <w:r>
        <w:rPr>
          <w:rFonts w:hint="eastAsia"/>
          <w:szCs w:val="21"/>
        </w:rPr>
        <w:t>:</w:t>
      </w:r>
    </w:p>
    <w:p w:rsidR="00021E93" w:rsidRDefault="00021E93" w:rsidP="00F568F1">
      <w:pPr>
        <w:spacing w:line="440" w:lineRule="exact"/>
        <w:ind w:firstLineChars="270" w:firstLine="567"/>
        <w:rPr>
          <w:szCs w:val="21"/>
        </w:rPr>
      </w:pPr>
      <w:r w:rsidRPr="00021E93">
        <w:rPr>
          <w:rFonts w:hint="eastAsia"/>
          <w:szCs w:val="21"/>
        </w:rPr>
        <w:t>广发证券股份有限公司</w:t>
      </w:r>
    </w:p>
    <w:p w:rsidR="00021E93" w:rsidRDefault="00021E93" w:rsidP="00F568F1">
      <w:pPr>
        <w:spacing w:line="440" w:lineRule="exact"/>
        <w:ind w:firstLineChars="200" w:firstLine="420"/>
        <w:rPr>
          <w:szCs w:val="21"/>
        </w:rPr>
      </w:pPr>
      <w:r>
        <w:rPr>
          <w:rFonts w:hint="eastAsia"/>
          <w:szCs w:val="21"/>
        </w:rPr>
        <w:t>4</w:t>
      </w:r>
      <w:r>
        <w:rPr>
          <w:rFonts w:hint="eastAsia"/>
          <w:szCs w:val="21"/>
        </w:rPr>
        <w:t>、</w:t>
      </w:r>
      <w:r w:rsidRPr="00021E93">
        <w:rPr>
          <w:rFonts w:hint="eastAsia"/>
          <w:szCs w:val="21"/>
        </w:rPr>
        <w:t>国泰中证全指建筑材料交易型开放式指数证券投资基金</w:t>
      </w:r>
      <w:r>
        <w:rPr>
          <w:rFonts w:hint="eastAsia"/>
          <w:szCs w:val="21"/>
        </w:rPr>
        <w:t>（</w:t>
      </w:r>
      <w:r w:rsidRPr="00021E93">
        <w:rPr>
          <w:szCs w:val="21"/>
        </w:rPr>
        <w:t>159745</w:t>
      </w:r>
      <w:r>
        <w:rPr>
          <w:rFonts w:hint="eastAsia"/>
          <w:szCs w:val="21"/>
        </w:rPr>
        <w:t>）：</w:t>
      </w:r>
    </w:p>
    <w:p w:rsidR="00021E93" w:rsidRDefault="00021E93" w:rsidP="00F568F1">
      <w:pPr>
        <w:spacing w:line="440" w:lineRule="exact"/>
        <w:ind w:firstLineChars="270" w:firstLine="567"/>
        <w:rPr>
          <w:szCs w:val="21"/>
        </w:rPr>
      </w:pPr>
      <w:r w:rsidRPr="00CC214E">
        <w:rPr>
          <w:szCs w:val="21"/>
        </w:rPr>
        <w:t>中信证券股份有限公司</w:t>
      </w:r>
    </w:p>
    <w:p w:rsidR="00021E93" w:rsidRDefault="00021E93" w:rsidP="00F568F1">
      <w:pPr>
        <w:spacing w:line="440" w:lineRule="exact"/>
        <w:ind w:firstLineChars="200" w:firstLine="420"/>
        <w:rPr>
          <w:szCs w:val="21"/>
        </w:rPr>
      </w:pPr>
      <w:r>
        <w:rPr>
          <w:rFonts w:hint="eastAsia"/>
          <w:szCs w:val="21"/>
        </w:rPr>
        <w:t>5</w:t>
      </w:r>
      <w:r>
        <w:rPr>
          <w:rFonts w:hint="eastAsia"/>
          <w:szCs w:val="21"/>
        </w:rPr>
        <w:t>、</w:t>
      </w:r>
      <w:r w:rsidRPr="00021E93">
        <w:rPr>
          <w:rFonts w:hint="eastAsia"/>
          <w:szCs w:val="21"/>
        </w:rPr>
        <w:t>国泰中证新材料主题交易型开放式指数证券投资基金</w:t>
      </w:r>
      <w:r>
        <w:rPr>
          <w:rFonts w:hint="eastAsia"/>
          <w:szCs w:val="21"/>
        </w:rPr>
        <w:t>（</w:t>
      </w:r>
      <w:r w:rsidRPr="00021E93">
        <w:rPr>
          <w:szCs w:val="21"/>
        </w:rPr>
        <w:t>159761</w:t>
      </w:r>
      <w:r>
        <w:rPr>
          <w:rFonts w:hint="eastAsia"/>
          <w:szCs w:val="21"/>
        </w:rPr>
        <w:t>）：</w:t>
      </w:r>
    </w:p>
    <w:p w:rsidR="00021E93" w:rsidRDefault="00021E93" w:rsidP="00F568F1">
      <w:pPr>
        <w:spacing w:line="440" w:lineRule="exact"/>
        <w:ind w:firstLineChars="270" w:firstLine="567"/>
        <w:rPr>
          <w:szCs w:val="21"/>
        </w:rPr>
      </w:pPr>
      <w:r w:rsidRPr="00CC214E">
        <w:rPr>
          <w:szCs w:val="21"/>
        </w:rPr>
        <w:t>中信证券股份有限公司</w:t>
      </w:r>
    </w:p>
    <w:p w:rsidR="00021E93" w:rsidRDefault="00021E93" w:rsidP="00F568F1">
      <w:pPr>
        <w:spacing w:line="440" w:lineRule="exact"/>
        <w:ind w:firstLineChars="200" w:firstLine="420"/>
        <w:rPr>
          <w:szCs w:val="21"/>
        </w:rPr>
      </w:pPr>
      <w:r>
        <w:rPr>
          <w:rFonts w:hint="eastAsia"/>
          <w:szCs w:val="21"/>
        </w:rPr>
        <w:t>6</w:t>
      </w:r>
      <w:r>
        <w:rPr>
          <w:rFonts w:hint="eastAsia"/>
          <w:szCs w:val="21"/>
        </w:rPr>
        <w:t>、</w:t>
      </w:r>
      <w:r w:rsidRPr="00021E93">
        <w:rPr>
          <w:rFonts w:hint="eastAsia"/>
          <w:szCs w:val="21"/>
        </w:rPr>
        <w:t>国泰中证全指家用电器交易型开放式指数证券投资基金</w:t>
      </w:r>
      <w:r>
        <w:rPr>
          <w:rFonts w:hint="eastAsia"/>
          <w:szCs w:val="21"/>
        </w:rPr>
        <w:t>（</w:t>
      </w:r>
      <w:r w:rsidRPr="00021E93">
        <w:rPr>
          <w:szCs w:val="21"/>
        </w:rPr>
        <w:t>159996</w:t>
      </w:r>
      <w:r>
        <w:rPr>
          <w:rFonts w:hint="eastAsia"/>
          <w:szCs w:val="21"/>
        </w:rPr>
        <w:t>）：</w:t>
      </w:r>
    </w:p>
    <w:p w:rsidR="00021E93" w:rsidRDefault="00021E93" w:rsidP="00F568F1">
      <w:pPr>
        <w:spacing w:line="440" w:lineRule="exact"/>
        <w:ind w:firstLineChars="270" w:firstLine="567"/>
        <w:rPr>
          <w:szCs w:val="21"/>
        </w:rPr>
      </w:pPr>
      <w:r w:rsidRPr="00CC214E">
        <w:rPr>
          <w:szCs w:val="21"/>
        </w:rPr>
        <w:t>中信证券股份有限公司</w:t>
      </w:r>
    </w:p>
    <w:p w:rsidR="00F568F1" w:rsidRPr="00CC214E" w:rsidRDefault="00F568F1" w:rsidP="00F568F1">
      <w:pPr>
        <w:spacing w:line="440" w:lineRule="exact"/>
        <w:rPr>
          <w:szCs w:val="21"/>
        </w:rPr>
      </w:pPr>
    </w:p>
    <w:p w:rsidR="00CF1610" w:rsidRPr="00CC214E" w:rsidRDefault="00E811F7" w:rsidP="00F568F1">
      <w:pPr>
        <w:spacing w:line="440" w:lineRule="exact"/>
        <w:ind w:firstLine="420"/>
        <w:rPr>
          <w:szCs w:val="21"/>
        </w:rPr>
      </w:pPr>
      <w:r w:rsidRPr="00CC214E">
        <w:rPr>
          <w:szCs w:val="21"/>
        </w:rPr>
        <w:t>特此公告。</w:t>
      </w:r>
    </w:p>
    <w:p w:rsidR="00CF1610" w:rsidRPr="00CC214E" w:rsidRDefault="00E811F7">
      <w:pPr>
        <w:spacing w:line="440" w:lineRule="exact"/>
        <w:ind w:firstLine="420"/>
        <w:jc w:val="right"/>
        <w:rPr>
          <w:szCs w:val="21"/>
        </w:rPr>
      </w:pPr>
      <w:r w:rsidRPr="00CC214E">
        <w:rPr>
          <w:szCs w:val="21"/>
        </w:rPr>
        <w:t xml:space="preserve"> </w:t>
      </w:r>
    </w:p>
    <w:p w:rsidR="00CC214E" w:rsidRPr="005C15E1" w:rsidRDefault="00CC214E" w:rsidP="00CC214E">
      <w:pPr>
        <w:spacing w:line="440" w:lineRule="exact"/>
        <w:ind w:firstLine="420"/>
        <w:jc w:val="right"/>
        <w:rPr>
          <w:szCs w:val="21"/>
        </w:rPr>
      </w:pPr>
      <w:r w:rsidRPr="005C15E1">
        <w:rPr>
          <w:szCs w:val="21"/>
        </w:rPr>
        <w:t>国泰基金管理有限公司</w:t>
      </w:r>
    </w:p>
    <w:p w:rsidR="00CF1610" w:rsidRPr="002713C7" w:rsidRDefault="00CC214E" w:rsidP="002713C7">
      <w:pPr>
        <w:spacing w:line="440" w:lineRule="exact"/>
        <w:ind w:firstLine="420"/>
        <w:jc w:val="right"/>
        <w:rPr>
          <w:szCs w:val="21"/>
        </w:rPr>
      </w:pPr>
      <w:r w:rsidRPr="005C15E1">
        <w:rPr>
          <w:szCs w:val="21"/>
        </w:rPr>
        <w:t>2024</w:t>
      </w:r>
      <w:r w:rsidRPr="005C15E1">
        <w:rPr>
          <w:szCs w:val="21"/>
        </w:rPr>
        <w:t>年</w:t>
      </w:r>
      <w:r w:rsidR="00F568F1">
        <w:rPr>
          <w:szCs w:val="21"/>
        </w:rPr>
        <w:t>6</w:t>
      </w:r>
      <w:r w:rsidRPr="005C15E1">
        <w:rPr>
          <w:szCs w:val="21"/>
        </w:rPr>
        <w:t>月</w:t>
      </w:r>
      <w:r w:rsidR="00F568F1">
        <w:rPr>
          <w:szCs w:val="21"/>
        </w:rPr>
        <w:t>25</w:t>
      </w:r>
      <w:r w:rsidRPr="005C15E1">
        <w:rPr>
          <w:szCs w:val="21"/>
        </w:rPr>
        <w:t>日</w:t>
      </w:r>
      <w:bookmarkStart w:id="0" w:name="_GoBack"/>
      <w:bookmarkEnd w:id="0"/>
    </w:p>
    <w:sectPr w:rsidR="00CF1610" w:rsidRPr="002713C7" w:rsidSect="007534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8F" w:rsidRDefault="00EF048F" w:rsidP="00773DC1">
      <w:r>
        <w:separator/>
      </w:r>
    </w:p>
  </w:endnote>
  <w:endnote w:type="continuationSeparator" w:id="0">
    <w:p w:rsidR="00EF048F" w:rsidRDefault="00EF048F" w:rsidP="00773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8F" w:rsidRDefault="00EF048F" w:rsidP="00773DC1">
      <w:r>
        <w:separator/>
      </w:r>
    </w:p>
  </w:footnote>
  <w:footnote w:type="continuationSeparator" w:id="0">
    <w:p w:rsidR="00EF048F" w:rsidRDefault="00EF048F" w:rsidP="00773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610"/>
    <w:rsid w:val="00021E93"/>
    <w:rsid w:val="002713C7"/>
    <w:rsid w:val="00306E71"/>
    <w:rsid w:val="00347E57"/>
    <w:rsid w:val="00380CAC"/>
    <w:rsid w:val="004434F1"/>
    <w:rsid w:val="0044756E"/>
    <w:rsid w:val="00570F0A"/>
    <w:rsid w:val="005E1FAB"/>
    <w:rsid w:val="006C061A"/>
    <w:rsid w:val="00753419"/>
    <w:rsid w:val="00773DC1"/>
    <w:rsid w:val="00A76106"/>
    <w:rsid w:val="00AB3907"/>
    <w:rsid w:val="00BB3EB7"/>
    <w:rsid w:val="00C80435"/>
    <w:rsid w:val="00CA215B"/>
    <w:rsid w:val="00CC214E"/>
    <w:rsid w:val="00CF1610"/>
    <w:rsid w:val="00E811F7"/>
    <w:rsid w:val="00E81BC3"/>
    <w:rsid w:val="00E84F72"/>
    <w:rsid w:val="00EF048F"/>
    <w:rsid w:val="00F568F1"/>
    <w:rsid w:val="093938FC"/>
    <w:rsid w:val="16225C6D"/>
    <w:rsid w:val="4EEE0190"/>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annotation text" w:qFormat="1"/>
    <w:lsdException w:name="caption" w:semiHidden="1" w:unhideWhenUsed="1" w:qFormat="1"/>
    <w:lsdException w:name="footnote reference"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419"/>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753419"/>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53419"/>
    <w:pPr>
      <w:jc w:val="left"/>
    </w:pPr>
  </w:style>
  <w:style w:type="paragraph" w:styleId="a4">
    <w:name w:val="footnote text"/>
    <w:basedOn w:val="a"/>
    <w:semiHidden/>
    <w:unhideWhenUsed/>
    <w:qFormat/>
    <w:rsid w:val="00753419"/>
    <w:pPr>
      <w:snapToGrid w:val="0"/>
      <w:jc w:val="left"/>
    </w:pPr>
    <w:rPr>
      <w:sz w:val="18"/>
    </w:rPr>
  </w:style>
  <w:style w:type="character" w:styleId="a5">
    <w:name w:val="footnote reference"/>
    <w:basedOn w:val="a0"/>
    <w:semiHidden/>
    <w:unhideWhenUsed/>
    <w:qFormat/>
    <w:rsid w:val="00753419"/>
    <w:rPr>
      <w:vertAlign w:val="superscript"/>
    </w:rPr>
  </w:style>
  <w:style w:type="paragraph" w:customStyle="1" w:styleId="1">
    <w:name w:val="样式1"/>
    <w:basedOn w:val="4"/>
    <w:next w:val="a"/>
    <w:qFormat/>
    <w:rsid w:val="00753419"/>
    <w:pPr>
      <w:numPr>
        <w:numId w:val="1"/>
      </w:numPr>
    </w:pPr>
    <w:rPr>
      <w:rFonts w:asciiTheme="minorHAnsi" w:hAnsiTheme="minorHAnsi"/>
      <w:sz w:val="24"/>
    </w:rPr>
  </w:style>
  <w:style w:type="paragraph" w:styleId="a6">
    <w:name w:val="header"/>
    <w:basedOn w:val="a"/>
    <w:link w:val="Char"/>
    <w:rsid w:val="00773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73DC1"/>
    <w:rPr>
      <w:rFonts w:ascii="Times New Roman" w:eastAsia="宋体" w:hAnsi="Times New Roman" w:cs="Times New Roman"/>
      <w:kern w:val="2"/>
      <w:sz w:val="18"/>
      <w:szCs w:val="18"/>
    </w:rPr>
  </w:style>
  <w:style w:type="paragraph" w:styleId="a7">
    <w:name w:val="footer"/>
    <w:basedOn w:val="a"/>
    <w:link w:val="Char0"/>
    <w:rsid w:val="00773DC1"/>
    <w:pPr>
      <w:tabs>
        <w:tab w:val="center" w:pos="4153"/>
        <w:tab w:val="right" w:pos="8306"/>
      </w:tabs>
      <w:snapToGrid w:val="0"/>
      <w:jc w:val="left"/>
    </w:pPr>
    <w:rPr>
      <w:sz w:val="18"/>
      <w:szCs w:val="18"/>
    </w:rPr>
  </w:style>
  <w:style w:type="character" w:customStyle="1" w:styleId="Char0">
    <w:name w:val="页脚 Char"/>
    <w:basedOn w:val="a0"/>
    <w:link w:val="a7"/>
    <w:rsid w:val="00773DC1"/>
    <w:rPr>
      <w:rFonts w:ascii="Times New Roman" w:eastAsia="宋体" w:hAnsi="Times New Roman" w:cs="Times New Roman"/>
      <w:kern w:val="2"/>
      <w:sz w:val="18"/>
      <w:szCs w:val="18"/>
    </w:rPr>
  </w:style>
  <w:style w:type="paragraph" w:styleId="a8">
    <w:name w:val="Balloon Text"/>
    <w:basedOn w:val="a"/>
    <w:link w:val="Char1"/>
    <w:rsid w:val="00AB3907"/>
    <w:rPr>
      <w:sz w:val="18"/>
      <w:szCs w:val="18"/>
    </w:rPr>
  </w:style>
  <w:style w:type="character" w:customStyle="1" w:styleId="Char1">
    <w:name w:val="批注框文本 Char"/>
    <w:basedOn w:val="a0"/>
    <w:link w:val="a8"/>
    <w:rsid w:val="00AB390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4</DocSecurity>
  <Lines>3</Lines>
  <Paragraphs>1</Paragraphs>
  <ScaleCrop>false</ScaleCrop>
  <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2024-06-24T16:00:00Z</dcterms:created>
  <dcterms:modified xsi:type="dcterms:W3CDTF">2024-06-24T16:00:00Z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F9F4F079D4DB429AA0DBCD136EE1440C</vt:lpwstr>
  </property>
</Properties>
</file>