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61D" w:rsidRDefault="004B7A24">
      <w:pPr>
        <w:pStyle w:val="div"/>
        <w:widowControl/>
        <w:wordWrap w:val="0"/>
        <w:spacing w:line="360" w:lineRule="auto"/>
        <w:jc w:val="center"/>
        <w:rPr>
          <w:rFonts w:eastAsia="Times New Roman"/>
          <w:kern w:val="0"/>
          <w:sz w:val="28"/>
          <w:szCs w:val="28"/>
        </w:rPr>
      </w:pPr>
      <w:bookmarkStart w:id="0" w:name="_GoBack"/>
      <w:bookmarkEnd w:id="0"/>
      <w:r>
        <w:rPr>
          <w:rFonts w:ascii="宋体" w:hAnsi="宋体" w:cs="宋体"/>
          <w:kern w:val="0"/>
          <w:sz w:val="28"/>
          <w:szCs w:val="28"/>
        </w:rPr>
        <w:t>大成基金管理有限公司关于旗下部分基金增加</w:t>
      </w:r>
    </w:p>
    <w:p w:rsidR="0035661D" w:rsidRDefault="004B7A24">
      <w:pPr>
        <w:pStyle w:val="div"/>
        <w:widowControl/>
        <w:wordWrap w:val="0"/>
        <w:spacing w:line="360" w:lineRule="auto"/>
        <w:jc w:val="center"/>
        <w:rPr>
          <w:rFonts w:eastAsia="Times New Roman"/>
          <w:kern w:val="0"/>
          <w:sz w:val="28"/>
          <w:szCs w:val="28"/>
        </w:rPr>
      </w:pPr>
      <w:r>
        <w:rPr>
          <w:rFonts w:ascii="宋体" w:hAnsi="宋体" w:cs="宋体"/>
          <w:kern w:val="0"/>
          <w:sz w:val="28"/>
          <w:szCs w:val="28"/>
        </w:rPr>
        <w:t>北京创金启富基金销售有限公司为销售机构的公告</w:t>
      </w:r>
    </w:p>
    <w:p w:rsidR="0035661D" w:rsidRDefault="0035661D">
      <w:pPr>
        <w:pStyle w:val="p"/>
        <w:widowControl/>
        <w:wordWrap w:val="0"/>
        <w:jc w:val="left"/>
        <w:rPr>
          <w:rFonts w:eastAsia="Times New Roman"/>
          <w:kern w:val="0"/>
          <w:sz w:val="24"/>
          <w:szCs w:val="24"/>
        </w:rPr>
      </w:pP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根据大成基金管理有限公司（以下简称“本公司”）与北京创金启富基金销售有限公司签订的开放式证券投资基金销售服务协议，北京创金启富基金销售有限公司将于2024年6月26日开始销售本公司旗下部分基金。投资者可通过北京创金启富基金销售有限公司办理开户、申购、赎回、转换等业务，办理程序遵循基金的法律文件和北京创金启富基金销售有限公司相关规定,具体基金如下:</w:t>
      </w:r>
    </w:p>
    <w:tbl>
      <w:tblPr>
        <w:tblStyle w:val="table"/>
        <w:tblW w:w="5000" w:type="pct"/>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892"/>
        <w:gridCol w:w="5410"/>
        <w:gridCol w:w="2226"/>
      </w:tblGrid>
      <w:tr w:rsidR="0035661D">
        <w:trPr>
          <w:trHeight w:val="390"/>
          <w:jc w:val="center"/>
        </w:trPr>
        <w:tc>
          <w:tcPr>
            <w:tcW w:w="743"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35661D" w:rsidRDefault="004B7A24">
            <w:pPr>
              <w:pStyle w:val="div"/>
              <w:widowControl/>
              <w:jc w:val="center"/>
              <w:rPr>
                <w:rFonts w:eastAsia="Times New Roman"/>
                <w:color w:val="000000"/>
                <w:kern w:val="0"/>
                <w:szCs w:val="21"/>
              </w:rPr>
            </w:pPr>
            <w:r>
              <w:rPr>
                <w:rFonts w:ascii="宋体" w:hAnsi="宋体" w:cs="宋体"/>
                <w:b/>
                <w:bCs/>
                <w:color w:val="000000"/>
                <w:kern w:val="0"/>
                <w:szCs w:val="21"/>
              </w:rPr>
              <w:t>序号</w:t>
            </w:r>
          </w:p>
        </w:tc>
        <w:tc>
          <w:tcPr>
            <w:tcW w:w="4510"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vAlign w:val="center"/>
            <w:hideMark/>
          </w:tcPr>
          <w:p w:rsidR="0035661D" w:rsidRDefault="004B7A24">
            <w:pPr>
              <w:pStyle w:val="div"/>
              <w:widowControl/>
              <w:jc w:val="center"/>
              <w:rPr>
                <w:rFonts w:eastAsia="Times New Roman"/>
                <w:color w:val="000000"/>
                <w:kern w:val="0"/>
                <w:szCs w:val="21"/>
              </w:rPr>
            </w:pPr>
            <w:r>
              <w:rPr>
                <w:rFonts w:ascii="宋体" w:hAnsi="宋体" w:cs="宋体"/>
                <w:b/>
                <w:bCs/>
                <w:color w:val="000000"/>
                <w:kern w:val="0"/>
                <w:szCs w:val="21"/>
              </w:rPr>
              <w:t>基金名称</w:t>
            </w:r>
          </w:p>
        </w:tc>
        <w:tc>
          <w:tcPr>
            <w:tcW w:w="1856"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vAlign w:val="center"/>
            <w:hideMark/>
          </w:tcPr>
          <w:p w:rsidR="0035661D" w:rsidRDefault="004B7A24">
            <w:pPr>
              <w:pStyle w:val="div"/>
              <w:widowControl/>
              <w:jc w:val="center"/>
              <w:rPr>
                <w:rFonts w:eastAsia="Times New Roman"/>
                <w:color w:val="000000"/>
                <w:kern w:val="0"/>
                <w:szCs w:val="21"/>
              </w:rPr>
            </w:pPr>
            <w:r>
              <w:rPr>
                <w:rFonts w:ascii="宋体" w:hAnsi="宋体" w:cs="宋体"/>
                <w:b/>
                <w:bCs/>
                <w:color w:val="000000"/>
                <w:kern w:val="0"/>
                <w:szCs w:val="21"/>
              </w:rPr>
              <w:t>基金代码</w:t>
            </w:r>
          </w:p>
        </w:tc>
      </w:tr>
      <w:tr w:rsidR="0035661D">
        <w:trPr>
          <w:trHeight w:val="390"/>
          <w:jc w:val="center"/>
        </w:trPr>
        <w:tc>
          <w:tcPr>
            <w:tcW w:w="743"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1</w:t>
            </w:r>
          </w:p>
        </w:tc>
        <w:tc>
          <w:tcPr>
            <w:tcW w:w="4510"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大成丰财宝货币市场基金B</w:t>
            </w:r>
          </w:p>
        </w:tc>
        <w:tc>
          <w:tcPr>
            <w:tcW w:w="1856"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000627</w:t>
            </w:r>
          </w:p>
        </w:tc>
      </w:tr>
      <w:tr w:rsidR="0035661D">
        <w:trPr>
          <w:trHeight w:val="390"/>
          <w:jc w:val="center"/>
        </w:trPr>
        <w:tc>
          <w:tcPr>
            <w:tcW w:w="743"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2</w:t>
            </w:r>
          </w:p>
        </w:tc>
        <w:tc>
          <w:tcPr>
            <w:tcW w:w="4510"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大成恒丰宝货币市场基金B</w:t>
            </w:r>
          </w:p>
        </w:tc>
        <w:tc>
          <w:tcPr>
            <w:tcW w:w="1856"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001698</w:t>
            </w:r>
          </w:p>
        </w:tc>
      </w:tr>
      <w:tr w:rsidR="0035661D">
        <w:trPr>
          <w:trHeight w:val="390"/>
          <w:jc w:val="center"/>
        </w:trPr>
        <w:tc>
          <w:tcPr>
            <w:tcW w:w="743" w:type="dxa"/>
            <w:tcBorders>
              <w:top w:val="single" w:sz="8" w:space="0" w:color="000000"/>
              <w:left w:val="single" w:sz="8" w:space="0" w:color="000000"/>
              <w:bottom w:val="single" w:sz="8" w:space="0" w:color="000000"/>
              <w:right w:val="single" w:sz="4" w:space="0" w:color="000000"/>
            </w:tcBorders>
            <w:tcMar>
              <w:top w:w="106" w:type="dxa"/>
              <w:left w:w="111" w:type="dxa"/>
              <w:bottom w:w="106" w:type="dxa"/>
              <w:right w:w="108" w:type="dxa"/>
            </w:tcMar>
            <w:vAlign w:val="cente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3</w:t>
            </w:r>
          </w:p>
        </w:tc>
        <w:tc>
          <w:tcPr>
            <w:tcW w:w="4510" w:type="dxa"/>
            <w:tcBorders>
              <w:top w:val="single" w:sz="8" w:space="0" w:color="000000"/>
              <w:left w:val="single" w:sz="8" w:space="0" w:color="000000"/>
              <w:bottom w:val="single" w:sz="8" w:space="0" w:color="000000"/>
              <w:right w:val="single" w:sz="4" w:space="0" w:color="000000"/>
            </w:tcBorders>
            <w:tcMar>
              <w:top w:w="106" w:type="dxa"/>
              <w:left w:w="118" w:type="dxa"/>
              <w:bottom w:w="106" w:type="dxa"/>
              <w:right w:w="108" w:type="dxa"/>
            </w:tcMa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大成添利宝货币市场基金B</w:t>
            </w:r>
          </w:p>
        </w:tc>
        <w:tc>
          <w:tcPr>
            <w:tcW w:w="1856" w:type="dxa"/>
            <w:tcBorders>
              <w:top w:val="single" w:sz="8" w:space="0" w:color="000000"/>
              <w:left w:val="single" w:sz="8" w:space="0" w:color="000000"/>
              <w:bottom w:val="single" w:sz="8" w:space="0" w:color="000000"/>
              <w:right w:val="single" w:sz="8" w:space="0" w:color="000000"/>
            </w:tcBorders>
            <w:tcMar>
              <w:top w:w="106" w:type="dxa"/>
              <w:left w:w="118" w:type="dxa"/>
              <w:bottom w:w="106" w:type="dxa"/>
              <w:right w:w="111" w:type="dxa"/>
            </w:tcMar>
            <w:hideMark/>
          </w:tcPr>
          <w:p w:rsidR="0035661D" w:rsidRDefault="004B7A24">
            <w:pPr>
              <w:pStyle w:val="div"/>
              <w:widowControl/>
              <w:jc w:val="center"/>
              <w:rPr>
                <w:rFonts w:eastAsia="Times New Roman"/>
                <w:color w:val="000000"/>
                <w:kern w:val="0"/>
                <w:szCs w:val="21"/>
              </w:rPr>
            </w:pPr>
            <w:r>
              <w:rPr>
                <w:rFonts w:ascii="宋体" w:hAnsi="宋体" w:cs="宋体"/>
                <w:color w:val="000000"/>
                <w:kern w:val="0"/>
                <w:szCs w:val="21"/>
              </w:rPr>
              <w:t>000725</w:t>
            </w:r>
          </w:p>
        </w:tc>
      </w:tr>
    </w:tbl>
    <w:p w:rsidR="0035661D" w:rsidRDefault="0035661D">
      <w:pPr>
        <w:pStyle w:val="p"/>
        <w:widowControl/>
        <w:wordWrap w:val="0"/>
        <w:jc w:val="left"/>
        <w:rPr>
          <w:rFonts w:eastAsia="Times New Roman"/>
          <w:kern w:val="0"/>
          <w:sz w:val="24"/>
          <w:szCs w:val="24"/>
        </w:rPr>
      </w:pP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投资者可通过以下途径咨询有关详情:</w:t>
      </w: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1、北京创金启富基金销售有限公司</w:t>
      </w: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客户服务电话：010-66154828</w:t>
      </w: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网址：</w:t>
      </w:r>
      <w:hyperlink r:id="rId9" w:history="1">
        <w:r>
          <w:rPr>
            <w:rFonts w:ascii="宋体" w:hAnsi="宋体" w:cs="宋体"/>
            <w:color w:val="000000"/>
            <w:kern w:val="0"/>
            <w:sz w:val="24"/>
            <w:szCs w:val="24"/>
          </w:rPr>
          <w:t>www.5irich.com</w:t>
        </w:r>
      </w:hyperlink>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2、大成基金管理有限公司</w:t>
      </w: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客户服务电话：400-888-5558（免长途通话费用）</w:t>
      </w: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网址：</w:t>
      </w:r>
      <w:hyperlink r:id="rId10" w:history="1">
        <w:r>
          <w:rPr>
            <w:rFonts w:ascii="宋体" w:hAnsi="宋体" w:cs="宋体"/>
            <w:color w:val="000000"/>
            <w:kern w:val="0"/>
            <w:sz w:val="24"/>
            <w:szCs w:val="24"/>
          </w:rPr>
          <w:t>www.dcfund.com.cn</w:t>
        </w:r>
      </w:hyperlink>
    </w:p>
    <w:p w:rsidR="0035661D" w:rsidRDefault="0035661D">
      <w:pPr>
        <w:pStyle w:val="p"/>
        <w:widowControl/>
        <w:wordWrap w:val="0"/>
        <w:spacing w:line="360" w:lineRule="auto"/>
        <w:ind w:firstLine="420"/>
        <w:jc w:val="left"/>
        <w:rPr>
          <w:rFonts w:eastAsia="Times New Roman"/>
          <w:kern w:val="0"/>
          <w:sz w:val="24"/>
          <w:szCs w:val="24"/>
        </w:rPr>
      </w:pP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风险提示:基金管理人承诺以诚实信用、勤勉尽责的原则管理和运用基金资产,但不保证基金一定盈利,也不保证最低收益。投资者投资于上述基金时应认真阅读上述基金的基金合同、招募说明书、产品资料概要等基金法律文件，了解基金的风险收益特征，并根据自身的投资目的、投资期限、投资经验、资产状况等判断基金是否和投资者的风险承受能力相适应。敬请投资者注意投资风险。</w:t>
      </w:r>
    </w:p>
    <w:p w:rsidR="0035661D" w:rsidRDefault="004B7A24">
      <w:pPr>
        <w:pStyle w:val="div"/>
        <w:widowControl/>
        <w:wordWrap w:val="0"/>
        <w:spacing w:line="360" w:lineRule="auto"/>
        <w:ind w:firstLine="420"/>
        <w:jc w:val="left"/>
        <w:rPr>
          <w:rFonts w:eastAsia="Times New Roman"/>
          <w:kern w:val="0"/>
          <w:sz w:val="24"/>
          <w:szCs w:val="24"/>
        </w:rPr>
      </w:pPr>
      <w:r>
        <w:rPr>
          <w:rFonts w:ascii="宋体" w:hAnsi="宋体" w:cs="宋体"/>
          <w:kern w:val="0"/>
          <w:sz w:val="24"/>
          <w:szCs w:val="24"/>
        </w:rPr>
        <w:t>特此公告。</w:t>
      </w:r>
    </w:p>
    <w:p w:rsidR="0035661D" w:rsidRDefault="004B7A24">
      <w:pPr>
        <w:pStyle w:val="div"/>
        <w:widowControl/>
        <w:spacing w:line="360" w:lineRule="auto"/>
        <w:ind w:firstLine="420"/>
        <w:jc w:val="right"/>
        <w:rPr>
          <w:rFonts w:eastAsia="Times New Roman"/>
          <w:kern w:val="0"/>
          <w:sz w:val="24"/>
          <w:szCs w:val="24"/>
        </w:rPr>
      </w:pPr>
      <w:r>
        <w:rPr>
          <w:rFonts w:ascii="宋体" w:hAnsi="宋体" w:cs="宋体"/>
          <w:kern w:val="0"/>
          <w:sz w:val="24"/>
          <w:szCs w:val="24"/>
        </w:rPr>
        <w:t>大成基金管理有限公司</w:t>
      </w:r>
    </w:p>
    <w:p w:rsidR="0035661D" w:rsidRDefault="004B7A24">
      <w:pPr>
        <w:pStyle w:val="div"/>
        <w:widowControl/>
        <w:spacing w:line="360" w:lineRule="auto"/>
        <w:ind w:firstLine="420"/>
        <w:jc w:val="right"/>
        <w:rPr>
          <w:rFonts w:eastAsia="Times New Roman"/>
          <w:kern w:val="0"/>
          <w:sz w:val="24"/>
          <w:szCs w:val="24"/>
        </w:rPr>
      </w:pPr>
      <w:r>
        <w:rPr>
          <w:rFonts w:ascii="宋体" w:hAnsi="宋体" w:cs="宋体"/>
          <w:kern w:val="0"/>
          <w:sz w:val="24"/>
          <w:szCs w:val="24"/>
        </w:rPr>
        <w:lastRenderedPageBreak/>
        <w:t>二〇二四年六月二十五日</w:t>
      </w:r>
    </w:p>
    <w:sectPr w:rsidR="0035661D" w:rsidSect="001B14C9">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A24" w:rsidRDefault="004B7A24">
      <w:r>
        <w:separator/>
      </w:r>
    </w:p>
  </w:endnote>
  <w:endnote w:type="continuationSeparator" w:id="0">
    <w:p w:rsidR="004B7A24" w:rsidRDefault="004B7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1D" w:rsidRDefault="001B14C9">
    <w:pPr>
      <w:pStyle w:val="a9"/>
      <w:jc w:val="center"/>
      <w:rPr>
        <w:color w:val="000000" w:themeColor="text1"/>
      </w:rPr>
    </w:pPr>
    <w:r>
      <w:rPr>
        <w:color w:val="000000" w:themeColor="text1"/>
      </w:rPr>
      <w:fldChar w:fldCharType="begin"/>
    </w:r>
    <w:r w:rsidR="004B7A24">
      <w:rPr>
        <w:color w:val="000000" w:themeColor="text1"/>
      </w:rPr>
      <w:instrText>PAGE   \* MERGEFORMAT</w:instrText>
    </w:r>
    <w:r>
      <w:rPr>
        <w:color w:val="000000" w:themeColor="text1"/>
      </w:rPr>
      <w:fldChar w:fldCharType="separate"/>
    </w:r>
    <w:r w:rsidR="001F49DB" w:rsidRPr="001F49DB">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A24" w:rsidRDefault="004B7A24">
      <w:r>
        <w:separator/>
      </w:r>
    </w:p>
  </w:footnote>
  <w:footnote w:type="continuationSeparator" w:id="0">
    <w:p w:rsidR="004B7A24" w:rsidRDefault="004B7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14C9"/>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9DB"/>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661D"/>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A24"/>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2C0B"/>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qFormat="1"/>
    <w:lsdException w:name="toc 2" w:uiPriority="39" w:unhideWhenUsed="1"/>
    <w:lsdException w:name="toc 3"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semiHidden="0"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uiPriority="59"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B14C9"/>
    <w:pPr>
      <w:widowControl w:val="0"/>
      <w:jc w:val="both"/>
    </w:pPr>
    <w:rPr>
      <w:kern w:val="2"/>
      <w:sz w:val="21"/>
      <w:lang w:eastAsia="zh-CN"/>
    </w:rPr>
  </w:style>
  <w:style w:type="paragraph" w:styleId="1">
    <w:name w:val="heading 1"/>
    <w:basedOn w:val="a"/>
    <w:next w:val="a"/>
    <w:link w:val="1Char"/>
    <w:qFormat/>
    <w:rsid w:val="001B14C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B14C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B14C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B14C9"/>
    <w:pPr>
      <w:ind w:firstLineChars="200" w:firstLine="420"/>
    </w:pPr>
  </w:style>
  <w:style w:type="paragraph" w:styleId="a4">
    <w:name w:val="Document Map"/>
    <w:basedOn w:val="a"/>
    <w:qFormat/>
    <w:rsid w:val="001B14C9"/>
    <w:pPr>
      <w:shd w:val="clear" w:color="auto" w:fill="000080"/>
    </w:pPr>
  </w:style>
  <w:style w:type="paragraph" w:styleId="a5">
    <w:name w:val="annotation text"/>
    <w:basedOn w:val="a"/>
    <w:link w:val="Char"/>
    <w:qFormat/>
    <w:rsid w:val="001B14C9"/>
    <w:pPr>
      <w:jc w:val="left"/>
    </w:pPr>
  </w:style>
  <w:style w:type="paragraph" w:styleId="a6">
    <w:name w:val="Body Text"/>
    <w:basedOn w:val="a"/>
    <w:link w:val="Char0"/>
    <w:qFormat/>
    <w:rsid w:val="001B14C9"/>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1B14C9"/>
    <w:pPr>
      <w:ind w:leftChars="400" w:left="840"/>
    </w:pPr>
  </w:style>
  <w:style w:type="paragraph" w:styleId="a7">
    <w:name w:val="Plain Text"/>
    <w:basedOn w:val="a"/>
    <w:qFormat/>
    <w:rsid w:val="001B14C9"/>
    <w:pPr>
      <w:adjustRightInd w:val="0"/>
      <w:spacing w:line="312" w:lineRule="atLeast"/>
      <w:textAlignment w:val="baseline"/>
    </w:pPr>
    <w:rPr>
      <w:rFonts w:ascii="宋体" w:hAnsi="Courier New"/>
      <w:kern w:val="0"/>
    </w:rPr>
  </w:style>
  <w:style w:type="paragraph" w:styleId="20">
    <w:name w:val="Body Text Indent 2"/>
    <w:basedOn w:val="a"/>
    <w:qFormat/>
    <w:rsid w:val="001B14C9"/>
    <w:pPr>
      <w:spacing w:line="360" w:lineRule="auto"/>
      <w:ind w:firstLine="425"/>
    </w:pPr>
    <w:rPr>
      <w:rFonts w:ascii="仿宋_GB2312" w:eastAsia="仿宋_GB2312"/>
      <w:sz w:val="28"/>
    </w:rPr>
  </w:style>
  <w:style w:type="paragraph" w:styleId="a8">
    <w:name w:val="Balloon Text"/>
    <w:basedOn w:val="a"/>
    <w:qFormat/>
    <w:rsid w:val="001B14C9"/>
    <w:rPr>
      <w:sz w:val="18"/>
    </w:rPr>
  </w:style>
  <w:style w:type="paragraph" w:styleId="a9">
    <w:name w:val="footer"/>
    <w:basedOn w:val="a"/>
    <w:link w:val="Char1"/>
    <w:uiPriority w:val="99"/>
    <w:qFormat/>
    <w:rsid w:val="001B14C9"/>
    <w:pPr>
      <w:tabs>
        <w:tab w:val="center" w:pos="4153"/>
        <w:tab w:val="right" w:pos="8306"/>
      </w:tabs>
      <w:snapToGrid w:val="0"/>
      <w:jc w:val="left"/>
    </w:pPr>
    <w:rPr>
      <w:sz w:val="18"/>
    </w:rPr>
  </w:style>
  <w:style w:type="paragraph" w:styleId="aa">
    <w:name w:val="header"/>
    <w:basedOn w:val="a"/>
    <w:link w:val="Char2"/>
    <w:uiPriority w:val="99"/>
    <w:qFormat/>
    <w:rsid w:val="001B14C9"/>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B14C9"/>
    <w:pPr>
      <w:tabs>
        <w:tab w:val="right" w:leader="dot" w:pos="8296"/>
      </w:tabs>
      <w:spacing w:line="360" w:lineRule="auto"/>
    </w:pPr>
  </w:style>
  <w:style w:type="paragraph" w:styleId="ab">
    <w:name w:val="footnote text"/>
    <w:basedOn w:val="a"/>
    <w:qFormat/>
    <w:rsid w:val="001B14C9"/>
    <w:pPr>
      <w:snapToGrid w:val="0"/>
      <w:jc w:val="left"/>
    </w:pPr>
    <w:rPr>
      <w:sz w:val="18"/>
    </w:rPr>
  </w:style>
  <w:style w:type="paragraph" w:styleId="31">
    <w:name w:val="Body Text Indent 3"/>
    <w:basedOn w:val="a"/>
    <w:qFormat/>
    <w:rsid w:val="001B14C9"/>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1B14C9"/>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1B14C9"/>
    <w:pPr>
      <w:spacing w:before="240" w:after="60"/>
      <w:jc w:val="center"/>
      <w:outlineLvl w:val="0"/>
    </w:pPr>
    <w:rPr>
      <w:rFonts w:ascii="Cambria" w:hAnsi="Cambria"/>
      <w:b/>
      <w:sz w:val="32"/>
      <w:lang w:val="zh-CN"/>
    </w:rPr>
  </w:style>
  <w:style w:type="paragraph" w:styleId="ae">
    <w:name w:val="annotation subject"/>
    <w:basedOn w:val="a5"/>
    <w:next w:val="a5"/>
    <w:qFormat/>
    <w:rsid w:val="001B14C9"/>
    <w:rPr>
      <w:b/>
    </w:rPr>
  </w:style>
  <w:style w:type="character" w:styleId="af">
    <w:name w:val="page number"/>
    <w:basedOn w:val="a0"/>
    <w:rsid w:val="001B14C9"/>
  </w:style>
  <w:style w:type="character" w:styleId="af0">
    <w:name w:val="Hyperlink"/>
    <w:qFormat/>
    <w:rsid w:val="001B14C9"/>
    <w:rPr>
      <w:color w:val="0000FF"/>
      <w:u w:val="single"/>
    </w:rPr>
  </w:style>
  <w:style w:type="character" w:styleId="af1">
    <w:name w:val="annotation reference"/>
    <w:rsid w:val="001B14C9"/>
    <w:rPr>
      <w:sz w:val="21"/>
    </w:rPr>
  </w:style>
  <w:style w:type="character" w:styleId="af2">
    <w:name w:val="footnote reference"/>
    <w:rsid w:val="001B14C9"/>
    <w:rPr>
      <w:vertAlign w:val="superscript"/>
    </w:rPr>
  </w:style>
  <w:style w:type="character" w:customStyle="1" w:styleId="Char0">
    <w:name w:val="正文文本 Char"/>
    <w:link w:val="a6"/>
    <w:rsid w:val="001B14C9"/>
    <w:rPr>
      <w:rFonts w:ascii="宋体"/>
      <w:lang w:val="zh-CN" w:eastAsia="zh-CN"/>
    </w:rPr>
  </w:style>
  <w:style w:type="character" w:customStyle="1" w:styleId="unnamed11">
    <w:name w:val="unnamed11"/>
    <w:rsid w:val="001B14C9"/>
    <w:rPr>
      <w:rFonts w:ascii="宋体" w:eastAsia="宋体" w:hAnsi="宋体" w:hint="eastAsia"/>
      <w:sz w:val="18"/>
    </w:rPr>
  </w:style>
  <w:style w:type="character" w:customStyle="1" w:styleId="Char3">
    <w:name w:val="标题 Char"/>
    <w:link w:val="ad"/>
    <w:rsid w:val="001B14C9"/>
    <w:rPr>
      <w:rFonts w:ascii="Cambria" w:hAnsi="Cambria"/>
      <w:b/>
      <w:kern w:val="2"/>
      <w:sz w:val="32"/>
      <w:lang w:val="zh-CN" w:eastAsia="zh-CN"/>
    </w:rPr>
  </w:style>
  <w:style w:type="character" w:customStyle="1" w:styleId="Char2">
    <w:name w:val="页眉 Char"/>
    <w:link w:val="aa"/>
    <w:uiPriority w:val="99"/>
    <w:qFormat/>
    <w:rsid w:val="001B14C9"/>
    <w:rPr>
      <w:kern w:val="2"/>
      <w:sz w:val="18"/>
    </w:rPr>
  </w:style>
  <w:style w:type="character" w:customStyle="1" w:styleId="read">
    <w:name w:val="read"/>
    <w:basedOn w:val="a0"/>
    <w:qFormat/>
    <w:rsid w:val="001B14C9"/>
  </w:style>
  <w:style w:type="paragraph" w:customStyle="1" w:styleId="CharChar">
    <w:name w:val="Char Char"/>
    <w:basedOn w:val="a"/>
    <w:qFormat/>
    <w:rsid w:val="001B14C9"/>
  </w:style>
  <w:style w:type="paragraph" w:customStyle="1" w:styleId="Default">
    <w:name w:val="Default"/>
    <w:qFormat/>
    <w:rsid w:val="001B14C9"/>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1B14C9"/>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1B14C9"/>
    <w:pPr>
      <w:widowControl/>
      <w:numPr>
        <w:numId w:val="1"/>
      </w:numPr>
      <w:jc w:val="left"/>
    </w:pPr>
    <w:rPr>
      <w:kern w:val="0"/>
      <w:sz w:val="24"/>
    </w:rPr>
  </w:style>
  <w:style w:type="paragraph" w:customStyle="1" w:styleId="msonormal1">
    <w:name w:val="msonormal1"/>
    <w:qFormat/>
    <w:rsid w:val="001B14C9"/>
    <w:pPr>
      <w:widowControl w:val="0"/>
      <w:jc w:val="both"/>
    </w:pPr>
    <w:rPr>
      <w:kern w:val="2"/>
      <w:sz w:val="21"/>
      <w:lang w:eastAsia="zh-CN"/>
    </w:rPr>
  </w:style>
  <w:style w:type="paragraph" w:customStyle="1" w:styleId="af3">
    <w:name w:val="正文正文"/>
    <w:basedOn w:val="a"/>
    <w:qFormat/>
    <w:rsid w:val="001B14C9"/>
    <w:pPr>
      <w:spacing w:afterLines="25" w:line="360" w:lineRule="auto"/>
      <w:ind w:firstLineChars="200" w:firstLine="200"/>
    </w:pPr>
    <w:rPr>
      <w:sz w:val="24"/>
    </w:rPr>
  </w:style>
  <w:style w:type="paragraph" w:customStyle="1" w:styleId="Char4">
    <w:name w:val="Char"/>
    <w:basedOn w:val="a"/>
    <w:qFormat/>
    <w:rsid w:val="001B14C9"/>
  </w:style>
  <w:style w:type="paragraph" w:customStyle="1" w:styleId="Char10">
    <w:name w:val="Char1"/>
    <w:basedOn w:val="a"/>
    <w:qFormat/>
    <w:rsid w:val="001B14C9"/>
  </w:style>
  <w:style w:type="paragraph" w:customStyle="1" w:styleId="CharCharChar">
    <w:name w:val="Char Char Char"/>
    <w:basedOn w:val="a"/>
    <w:qFormat/>
    <w:rsid w:val="001B14C9"/>
  </w:style>
  <w:style w:type="paragraph" w:customStyle="1" w:styleId="InfoBlue">
    <w:name w:val="InfoBlue"/>
    <w:basedOn w:val="a"/>
    <w:next w:val="a6"/>
    <w:qFormat/>
    <w:rsid w:val="001B14C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1B14C9"/>
    <w:pPr>
      <w:tabs>
        <w:tab w:val="left" w:pos="360"/>
      </w:tabs>
    </w:pPr>
  </w:style>
  <w:style w:type="paragraph" w:customStyle="1" w:styleId="CharChar1">
    <w:name w:val="Char Char1"/>
    <w:basedOn w:val="a"/>
    <w:qFormat/>
    <w:rsid w:val="001B14C9"/>
  </w:style>
  <w:style w:type="paragraph" w:customStyle="1" w:styleId="af4">
    <w:name w:val="正文所"/>
    <w:basedOn w:val="a"/>
    <w:qFormat/>
    <w:rsid w:val="001B14C9"/>
    <w:pPr>
      <w:spacing w:line="360" w:lineRule="auto"/>
      <w:ind w:firstLineChars="200" w:firstLine="420"/>
    </w:pPr>
    <w:rPr>
      <w:rFonts w:ascii="宋体"/>
    </w:rPr>
  </w:style>
  <w:style w:type="paragraph" w:customStyle="1" w:styleId="11">
    <w:name w:val="修订1"/>
    <w:hidden/>
    <w:uiPriority w:val="99"/>
    <w:semiHidden/>
    <w:qFormat/>
    <w:rsid w:val="001B14C9"/>
    <w:rPr>
      <w:kern w:val="2"/>
      <w:sz w:val="21"/>
      <w:lang w:eastAsia="zh-CN"/>
    </w:rPr>
  </w:style>
  <w:style w:type="character" w:customStyle="1" w:styleId="1Char">
    <w:name w:val="标题 1 Char"/>
    <w:link w:val="1"/>
    <w:qFormat/>
    <w:rsid w:val="001B14C9"/>
    <w:rPr>
      <w:rFonts w:ascii="宋体"/>
      <w:b/>
      <w:color w:val="000000"/>
      <w:sz w:val="24"/>
    </w:rPr>
  </w:style>
  <w:style w:type="character" w:customStyle="1" w:styleId="Char">
    <w:name w:val="批注文字 Char"/>
    <w:link w:val="a5"/>
    <w:qFormat/>
    <w:rsid w:val="001B14C9"/>
    <w:rPr>
      <w:kern w:val="2"/>
      <w:sz w:val="21"/>
    </w:rPr>
  </w:style>
  <w:style w:type="paragraph" w:customStyle="1" w:styleId="CharChar2">
    <w:name w:val="Char Char2"/>
    <w:basedOn w:val="a"/>
    <w:qFormat/>
    <w:rsid w:val="001B14C9"/>
  </w:style>
  <w:style w:type="paragraph" w:customStyle="1" w:styleId="CharChar3">
    <w:name w:val="Char Char3"/>
    <w:basedOn w:val="a"/>
    <w:qFormat/>
    <w:rsid w:val="001B14C9"/>
  </w:style>
  <w:style w:type="paragraph" w:customStyle="1" w:styleId="Char20">
    <w:name w:val="Char2"/>
    <w:basedOn w:val="a"/>
    <w:qFormat/>
    <w:rsid w:val="001B14C9"/>
  </w:style>
  <w:style w:type="paragraph" w:customStyle="1" w:styleId="CharCharChar1">
    <w:name w:val="Char Char Char1"/>
    <w:basedOn w:val="a"/>
    <w:qFormat/>
    <w:rsid w:val="001B14C9"/>
  </w:style>
  <w:style w:type="paragraph" w:customStyle="1" w:styleId="CharCharCharChar1">
    <w:name w:val="Char Char Char Char1"/>
    <w:basedOn w:val="a"/>
    <w:qFormat/>
    <w:rsid w:val="001B14C9"/>
    <w:pPr>
      <w:tabs>
        <w:tab w:val="left" w:pos="360"/>
      </w:tabs>
    </w:pPr>
  </w:style>
  <w:style w:type="paragraph" w:customStyle="1" w:styleId="CharChar11">
    <w:name w:val="Char Char11"/>
    <w:basedOn w:val="a"/>
    <w:qFormat/>
    <w:rsid w:val="001B14C9"/>
  </w:style>
  <w:style w:type="paragraph" w:customStyle="1" w:styleId="CharChar4">
    <w:name w:val="Char Char4"/>
    <w:basedOn w:val="a"/>
    <w:qFormat/>
    <w:rsid w:val="001B14C9"/>
  </w:style>
  <w:style w:type="paragraph" w:styleId="af5">
    <w:name w:val="List Paragraph"/>
    <w:basedOn w:val="a"/>
    <w:uiPriority w:val="34"/>
    <w:qFormat/>
    <w:rsid w:val="001B14C9"/>
    <w:pPr>
      <w:ind w:firstLineChars="200" w:firstLine="420"/>
    </w:pPr>
  </w:style>
  <w:style w:type="paragraph" w:customStyle="1" w:styleId="CharChar12">
    <w:name w:val="Char Char12"/>
    <w:basedOn w:val="a"/>
    <w:qFormat/>
    <w:rsid w:val="001B14C9"/>
  </w:style>
  <w:style w:type="paragraph" w:customStyle="1" w:styleId="Char30">
    <w:name w:val="Char3"/>
    <w:basedOn w:val="a"/>
    <w:qFormat/>
    <w:rsid w:val="001B14C9"/>
  </w:style>
  <w:style w:type="paragraph" w:customStyle="1" w:styleId="CharChar13">
    <w:name w:val="Char Char13"/>
    <w:basedOn w:val="a"/>
    <w:qFormat/>
    <w:rsid w:val="001B14C9"/>
  </w:style>
  <w:style w:type="paragraph" w:customStyle="1" w:styleId="Char40">
    <w:name w:val="Char4"/>
    <w:basedOn w:val="a"/>
    <w:qFormat/>
    <w:rsid w:val="001B14C9"/>
  </w:style>
  <w:style w:type="paragraph" w:customStyle="1" w:styleId="CharChar14">
    <w:name w:val="Char Char14"/>
    <w:basedOn w:val="a"/>
    <w:qFormat/>
    <w:rsid w:val="001B14C9"/>
  </w:style>
  <w:style w:type="paragraph" w:customStyle="1" w:styleId="Char5">
    <w:name w:val="Char5"/>
    <w:basedOn w:val="a"/>
    <w:qFormat/>
    <w:rsid w:val="001B14C9"/>
  </w:style>
  <w:style w:type="paragraph" w:customStyle="1" w:styleId="CharChar5">
    <w:name w:val="Char Char5"/>
    <w:basedOn w:val="a"/>
    <w:qFormat/>
    <w:rsid w:val="001B14C9"/>
  </w:style>
  <w:style w:type="character" w:customStyle="1" w:styleId="Char1">
    <w:name w:val="页脚 Char"/>
    <w:basedOn w:val="a0"/>
    <w:link w:val="a9"/>
    <w:uiPriority w:val="99"/>
    <w:qFormat/>
    <w:rsid w:val="001B14C9"/>
    <w:rPr>
      <w:kern w:val="2"/>
      <w:sz w:val="18"/>
    </w:rPr>
  </w:style>
  <w:style w:type="paragraph" w:customStyle="1" w:styleId="div">
    <w:name w:val="div"/>
    <w:basedOn w:val="a"/>
    <w:rsid w:val="001B14C9"/>
  </w:style>
  <w:style w:type="paragraph" w:customStyle="1" w:styleId="p">
    <w:name w:val="p"/>
    <w:basedOn w:val="a"/>
    <w:rsid w:val="001B14C9"/>
  </w:style>
  <w:style w:type="table" w:customStyle="1" w:styleId="table">
    <w:name w:val="table"/>
    <w:basedOn w:val="a1"/>
    <w:rsid w:val="001B14C9"/>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cfund.com.cn" TargetMode="External"/><Relationship Id="rId4" Type="http://schemas.openxmlformats.org/officeDocument/2006/relationships/styles" Target="styles.xml"/><Relationship Id="rId9" Type="http://schemas.openxmlformats.org/officeDocument/2006/relationships/hyperlink" Target="http://www.5iric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1015-0694-4C70-BEF5-F98FAE28B0C6}">
  <ds:schemaRefs>
    <ds:schemaRef ds:uri="http://schemas.openxmlformats.org/officeDocument/2006/bibliography"/>
  </ds:schemaRefs>
</ds:datastoreItem>
</file>

<file path=customXml/itemProps2.xml><?xml version="1.0" encoding="utf-8"?>
<ds:datastoreItem xmlns:ds="http://schemas.openxmlformats.org/officeDocument/2006/customXml" ds:itemID="{6E0ECCC3-6228-4B36-B711-58A1D98B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4</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2024-06-24T16:02:00Z</dcterms:created>
  <dcterms:modified xsi:type="dcterms:W3CDTF">2024-06-24T16:02:00Z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