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DC628D" w:rsidP="00B85DD2">
      <w:pPr>
        <w:pStyle w:val="a7"/>
        <w:spacing w:before="0" w:beforeAutospacing="0" w:after="0" w:afterAutospacing="0" w:line="360" w:lineRule="auto"/>
        <w:jc w:val="center"/>
        <w:rPr>
          <w:b/>
          <w:bCs/>
          <w:sz w:val="28"/>
        </w:rPr>
      </w:pPr>
      <w:r w:rsidRPr="00DC628D">
        <w:rPr>
          <w:rFonts w:hint="eastAsia"/>
          <w:b/>
          <w:bCs/>
          <w:sz w:val="28"/>
        </w:rPr>
        <w:t>金鹰基金管理有限公司旗下部分基金新增中信证券股份有限公司等为代销机构并开通基金转换、基金定投业务及费率优惠的公告</w:t>
      </w:r>
    </w:p>
    <w:p w:rsidR="00B85DD2" w:rsidRPr="001A3D57"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B716B5" w:rsidRPr="00B716B5">
        <w:rPr>
          <w:rFonts w:cs="Calibri" w:hint="eastAsia"/>
        </w:rPr>
        <w:t>中信证券股份有限公司等</w:t>
      </w:r>
      <w:r w:rsidR="00DF7084">
        <w:rPr>
          <w:rFonts w:cs="Calibri" w:hint="eastAsia"/>
        </w:rPr>
        <w:t>下述代销机构</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460C9">
        <w:rPr>
          <w:rFonts w:cs="Calibri"/>
        </w:rPr>
        <w:t>4</w:t>
      </w:r>
      <w:r w:rsidRPr="009877A4">
        <w:rPr>
          <w:rFonts w:cs="Calibri" w:hint="eastAsia"/>
        </w:rPr>
        <w:t>年</w:t>
      </w:r>
      <w:r w:rsidR="004460C9">
        <w:rPr>
          <w:rFonts w:cs="Calibri"/>
        </w:rPr>
        <w:t>6</w:t>
      </w:r>
      <w:r w:rsidRPr="009877A4">
        <w:rPr>
          <w:rFonts w:cs="Calibri" w:hint="eastAsia"/>
        </w:rPr>
        <w:t>月</w:t>
      </w:r>
      <w:r w:rsidR="00B362C6">
        <w:rPr>
          <w:rFonts w:cs="Calibri"/>
        </w:rPr>
        <w:t>2</w:t>
      </w:r>
      <w:r w:rsidR="00DC628D">
        <w:rPr>
          <w:rFonts w:cs="Calibri"/>
        </w:rPr>
        <w:t>4</w:t>
      </w:r>
      <w:r w:rsidR="009C31EE">
        <w:rPr>
          <w:rFonts w:cs="Calibri"/>
        </w:rPr>
        <w:t>日</w:t>
      </w:r>
      <w:r w:rsidR="009C31EE">
        <w:rPr>
          <w:rFonts w:cs="Calibri" w:hint="eastAsia"/>
        </w:rPr>
        <w:t>起</w:t>
      </w:r>
      <w:r w:rsidRPr="009877A4">
        <w:rPr>
          <w:rFonts w:asciiTheme="minorEastAsia" w:hAnsiTheme="minorEastAsia" w:cs="Calibri" w:hint="eastAsia"/>
        </w:rPr>
        <w:t>，</w:t>
      </w:r>
      <w:r w:rsidR="00573E8B" w:rsidRPr="00573E8B">
        <w:rPr>
          <w:rFonts w:asciiTheme="minorEastAsia" w:hAnsiTheme="minorEastAsia" w:cs="Calibri" w:hint="eastAsia"/>
        </w:rPr>
        <w:t>下述机构代理销售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B716B5"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Ind w:w="108" w:type="dxa"/>
        <w:tblLook w:val="04A0"/>
      </w:tblPr>
      <w:tblGrid>
        <w:gridCol w:w="1560"/>
        <w:gridCol w:w="6804"/>
      </w:tblGrid>
      <w:tr w:rsidR="00CA62D2" w:rsidRPr="004636F5" w:rsidTr="00DC628D">
        <w:trPr>
          <w:trHeight w:val="492"/>
        </w:trPr>
        <w:tc>
          <w:tcPr>
            <w:tcW w:w="1560"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804"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DC628D" w:rsidRPr="00DC628D" w:rsidTr="00A107CE">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020510</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金鹰科技致远混合型证券投资基金A类份额</w:t>
            </w:r>
          </w:p>
        </w:tc>
      </w:tr>
      <w:tr w:rsidR="00DC628D" w:rsidRPr="00DC628D" w:rsidTr="00A107CE">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020511</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金鹰科技致远混合型证券投资基金C类份额</w:t>
            </w:r>
          </w:p>
        </w:tc>
      </w:tr>
      <w:tr w:rsidR="00DC628D" w:rsidRPr="00DC628D" w:rsidTr="003A310F">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009968</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金鹰内需成长混合型证券投资基金A类份额</w:t>
            </w:r>
          </w:p>
        </w:tc>
      </w:tr>
      <w:tr w:rsidR="00DC628D" w:rsidRPr="00DC628D" w:rsidTr="003A310F">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009969</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金鹰内需成长混合型证券投资基金C类份额</w:t>
            </w:r>
          </w:p>
        </w:tc>
      </w:tr>
      <w:tr w:rsidR="00DC628D" w:rsidRPr="00DC628D" w:rsidTr="003E7BE5">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011351</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金鹰年年邮益一年持有期混合型证券投资基金A类份额</w:t>
            </w:r>
          </w:p>
        </w:tc>
      </w:tr>
      <w:tr w:rsidR="00DC628D" w:rsidRPr="00DC628D" w:rsidTr="003E7BE5">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011352</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金鹰年年邮益一年持有期混合型证券投资基金C类份额</w:t>
            </w:r>
          </w:p>
        </w:tc>
      </w:tr>
      <w:tr w:rsidR="00DC628D" w:rsidRPr="00DC628D" w:rsidTr="00B43F8C">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004045</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金鹰添润定期开放债券型发起式证券投资基金</w:t>
            </w:r>
          </w:p>
        </w:tc>
      </w:tr>
      <w:tr w:rsidR="00DC628D" w:rsidRPr="00DC628D" w:rsidTr="00B43F8C">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005752</w:t>
            </w:r>
          </w:p>
        </w:tc>
        <w:tc>
          <w:tcPr>
            <w:tcW w:w="6804" w:type="dxa"/>
            <w:noWrap/>
            <w:vAlign w:val="center"/>
            <w:hideMark/>
          </w:tcPr>
          <w:p w:rsidR="00DC628D" w:rsidRPr="00DC628D" w:rsidRDefault="00DC628D" w:rsidP="00DC628D">
            <w:pPr>
              <w:pStyle w:val="a7"/>
              <w:spacing w:line="360" w:lineRule="auto"/>
              <w:ind w:firstLine="420"/>
              <w:rPr>
                <w:color w:val="000000"/>
              </w:rPr>
            </w:pPr>
            <w:r>
              <w:rPr>
                <w:rFonts w:hint="eastAsia"/>
                <w:color w:val="000000"/>
              </w:rPr>
              <w:t>金鹰添盛定期开放债券型发起式证券投资基金</w:t>
            </w:r>
          </w:p>
        </w:tc>
      </w:tr>
      <w:tr w:rsidR="00DC628D" w:rsidRPr="00DC628D" w:rsidTr="00DC628D">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019749</w:t>
            </w:r>
          </w:p>
        </w:tc>
        <w:tc>
          <w:tcPr>
            <w:tcW w:w="6804"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金鹰智慧生活灵活配置混合型证券投资基金C类份额</w:t>
            </w:r>
          </w:p>
        </w:tc>
      </w:tr>
      <w:tr w:rsidR="00DC628D" w:rsidRPr="00DC628D" w:rsidTr="00DC628D">
        <w:trPr>
          <w:trHeight w:val="285"/>
        </w:trPr>
        <w:tc>
          <w:tcPr>
            <w:tcW w:w="1560"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019748</w:t>
            </w:r>
          </w:p>
        </w:tc>
        <w:tc>
          <w:tcPr>
            <w:tcW w:w="6804" w:type="dxa"/>
            <w:noWrap/>
            <w:hideMark/>
          </w:tcPr>
          <w:p w:rsidR="00DC628D" w:rsidRPr="00DC628D" w:rsidRDefault="00DC628D" w:rsidP="00DC628D">
            <w:pPr>
              <w:pStyle w:val="a7"/>
              <w:spacing w:line="360" w:lineRule="auto"/>
              <w:ind w:firstLine="420"/>
              <w:rPr>
                <w:color w:val="000000"/>
              </w:rPr>
            </w:pPr>
            <w:r w:rsidRPr="00DC628D">
              <w:rPr>
                <w:rFonts w:hint="eastAsia"/>
                <w:color w:val="000000"/>
              </w:rPr>
              <w:t>金鹰周期优选灵活配置混合型证券投资基金C类份额</w:t>
            </w:r>
          </w:p>
        </w:tc>
      </w:tr>
    </w:tbl>
    <w:p w:rsidR="00A00AAF" w:rsidRDefault="00A00AAF" w:rsidP="009974A3">
      <w:pPr>
        <w:pStyle w:val="Default"/>
        <w:snapToGrid w:val="0"/>
        <w:spacing w:line="360" w:lineRule="auto"/>
        <w:ind w:firstLineChars="200" w:firstLine="480"/>
        <w:jc w:val="both"/>
        <w:rPr>
          <w:rFonts w:ascii="宋体" w:eastAsia="宋体" w:hAnsi="宋体" w:cs="Calibri"/>
          <w:color w:val="auto"/>
        </w:rPr>
      </w:pPr>
    </w:p>
    <w:p w:rsidR="003B3268" w:rsidRPr="006E71E1" w:rsidRDefault="001A3D57" w:rsidP="006E71E1">
      <w:pPr>
        <w:pStyle w:val="a7"/>
        <w:ind w:leftChars="200" w:left="420"/>
        <w:rPr>
          <w:rFonts w:asciiTheme="minorEastAsia" w:eastAsiaTheme="minorEastAsia" w:hAnsiTheme="minorEastAsia" w:cstheme="minorEastAsia"/>
          <w:color w:val="000000" w:themeColor="text1"/>
        </w:rPr>
      </w:pPr>
      <w:r w:rsidRPr="003B3268">
        <w:rPr>
          <w:rFonts w:asciiTheme="minorEastAsia" w:eastAsiaTheme="minorEastAsia" w:hAnsiTheme="minorEastAsia" w:cstheme="minorEastAsia" w:hint="eastAsia"/>
          <w:color w:val="000000" w:themeColor="text1"/>
        </w:rPr>
        <w:t>二、代销机构</w:t>
      </w:r>
      <w:r w:rsidR="0073514B" w:rsidRPr="003B3268">
        <w:rPr>
          <w:rFonts w:asciiTheme="minorEastAsia" w:eastAsiaTheme="minorEastAsia" w:hAnsiTheme="minorEastAsia" w:cstheme="minorEastAsia" w:hint="eastAsia"/>
          <w:color w:val="000000" w:themeColor="text1"/>
        </w:rPr>
        <w:t>情况</w:t>
      </w:r>
    </w:p>
    <w:p w:rsidR="00D80B6C" w:rsidRPr="00D80B6C" w:rsidRDefault="00D80B6C" w:rsidP="00D80B6C">
      <w:pPr>
        <w:pStyle w:val="a7"/>
        <w:numPr>
          <w:ilvl w:val="0"/>
          <w:numId w:val="13"/>
        </w:numPr>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名称：中信证券股份有限公司</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客服电话：95548</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网址：www.cs.ecitic.com</w:t>
      </w:r>
    </w:p>
    <w:p w:rsidR="004460C9" w:rsidRDefault="004460C9" w:rsidP="00D80B6C">
      <w:pPr>
        <w:pStyle w:val="a7"/>
        <w:ind w:firstLineChars="200" w:firstLine="480"/>
        <w:rPr>
          <w:rFonts w:asciiTheme="minorEastAsia" w:eastAsiaTheme="minorEastAsia" w:hAnsiTheme="minorEastAsia" w:cstheme="minorEastAsia"/>
          <w:color w:val="000000" w:themeColor="text1"/>
        </w:rPr>
      </w:pPr>
    </w:p>
    <w:p w:rsidR="00D80B6C" w:rsidRPr="00D80B6C" w:rsidRDefault="00D80B6C" w:rsidP="00D80B6C">
      <w:pPr>
        <w:pStyle w:val="a7"/>
        <w:numPr>
          <w:ilvl w:val="0"/>
          <w:numId w:val="13"/>
        </w:numPr>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lastRenderedPageBreak/>
        <w:t>名称：中信证券华南股份有限公司</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客服电话：95548</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网址：www.gzs.com.cn</w:t>
      </w:r>
    </w:p>
    <w:p w:rsidR="00D80B6C" w:rsidRDefault="00D80B6C" w:rsidP="00D80B6C">
      <w:pPr>
        <w:pStyle w:val="a7"/>
        <w:ind w:firstLineChars="200" w:firstLine="480"/>
        <w:rPr>
          <w:rFonts w:asciiTheme="minorEastAsia" w:eastAsiaTheme="minorEastAsia" w:hAnsiTheme="minorEastAsia" w:cstheme="minorEastAsia"/>
          <w:color w:val="000000" w:themeColor="text1"/>
        </w:rPr>
      </w:pPr>
    </w:p>
    <w:p w:rsidR="00D80B6C" w:rsidRPr="00D80B6C" w:rsidRDefault="00D80B6C" w:rsidP="00D80B6C">
      <w:pPr>
        <w:pStyle w:val="a7"/>
        <w:numPr>
          <w:ilvl w:val="0"/>
          <w:numId w:val="13"/>
        </w:numPr>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名称：中信证券（山东）有限责任公司</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客服电话：95548</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网址：sd.citics.com</w:t>
      </w:r>
    </w:p>
    <w:p w:rsidR="00D80B6C" w:rsidRDefault="00D80B6C" w:rsidP="00D80B6C">
      <w:pPr>
        <w:pStyle w:val="a7"/>
        <w:ind w:firstLineChars="200" w:firstLine="480"/>
        <w:rPr>
          <w:rFonts w:asciiTheme="minorEastAsia" w:eastAsiaTheme="minorEastAsia" w:hAnsiTheme="minorEastAsia" w:cstheme="minorEastAsia"/>
          <w:color w:val="000000" w:themeColor="text1"/>
        </w:rPr>
      </w:pPr>
    </w:p>
    <w:p w:rsidR="00D80B6C" w:rsidRPr="00D80B6C" w:rsidRDefault="00D80B6C" w:rsidP="00D80B6C">
      <w:pPr>
        <w:pStyle w:val="a7"/>
        <w:numPr>
          <w:ilvl w:val="0"/>
          <w:numId w:val="13"/>
        </w:numPr>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名称：中信期货有限公司</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客服电话：400-990-8826</w:t>
      </w:r>
    </w:p>
    <w:p w:rsidR="00D80B6C" w:rsidRPr="00D80B6C" w:rsidRDefault="00D80B6C" w:rsidP="00D80B6C">
      <w:pPr>
        <w:pStyle w:val="a7"/>
        <w:ind w:firstLineChars="200" w:firstLine="480"/>
        <w:rPr>
          <w:rFonts w:asciiTheme="minorEastAsia" w:eastAsiaTheme="minorEastAsia" w:hAnsiTheme="minorEastAsia" w:cstheme="minorEastAsia"/>
          <w:color w:val="000000" w:themeColor="text1"/>
        </w:rPr>
      </w:pPr>
      <w:r w:rsidRPr="00D80B6C">
        <w:rPr>
          <w:rFonts w:asciiTheme="minorEastAsia" w:eastAsiaTheme="minorEastAsia" w:hAnsiTheme="minorEastAsia" w:cstheme="minorEastAsia" w:hint="eastAsia"/>
          <w:color w:val="000000" w:themeColor="text1"/>
        </w:rPr>
        <w:t>网址：www.citicsf.com</w:t>
      </w:r>
    </w:p>
    <w:p w:rsidR="00D80B6C" w:rsidRDefault="00D80B6C" w:rsidP="00D80B6C">
      <w:pPr>
        <w:pStyle w:val="a7"/>
        <w:ind w:firstLineChars="200" w:firstLine="480"/>
        <w:rPr>
          <w:rFonts w:asciiTheme="minorEastAsia" w:eastAsiaTheme="minorEastAsia" w:hAnsiTheme="minorEastAsia" w:cstheme="minorEastAsia"/>
          <w:color w:val="000000" w:themeColor="text1"/>
        </w:rPr>
      </w:pPr>
    </w:p>
    <w:p w:rsidR="00A00AAF" w:rsidRPr="009A4C18" w:rsidRDefault="004F3FA4" w:rsidP="009A4C18">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w:t>
      </w:r>
      <w:r w:rsidR="00DB229B">
        <w:rPr>
          <w:rFonts w:asciiTheme="minorEastAsia" w:eastAsiaTheme="minorEastAsia" w:hAnsiTheme="minorEastAsia" w:cstheme="minorEastAsia" w:hint="eastAsia"/>
          <w:color w:val="000000" w:themeColor="text1"/>
        </w:rPr>
        <w:t>、</w:t>
      </w:r>
      <w:r w:rsidR="00AF76F6" w:rsidRPr="00AF76F6">
        <w:rPr>
          <w:rFonts w:asciiTheme="minorEastAsia" w:eastAsiaTheme="minorEastAsia" w:hAnsiTheme="minorEastAsia" w:cstheme="minorEastAsia" w:hint="eastAsia"/>
          <w:color w:val="000000" w:themeColor="text1"/>
        </w:rPr>
        <w:t>投资者可在</w:t>
      </w:r>
      <w:r w:rsidR="00336761">
        <w:rPr>
          <w:rFonts w:asciiTheme="minorEastAsia" w:eastAsiaTheme="minorEastAsia" w:hAnsiTheme="minorEastAsia" w:cstheme="minorEastAsia" w:hint="eastAsia"/>
          <w:color w:val="000000" w:themeColor="text1"/>
        </w:rPr>
        <w:t>上</w:t>
      </w:r>
      <w:r w:rsidR="00336761" w:rsidRPr="00336761">
        <w:rPr>
          <w:rFonts w:asciiTheme="minorEastAsia" w:eastAsiaTheme="minorEastAsia" w:hAnsiTheme="minorEastAsia" w:cstheme="minorEastAsia" w:hint="eastAsia"/>
          <w:color w:val="000000" w:themeColor="text1"/>
        </w:rPr>
        <w:t>述机构</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sidR="00DB229B">
        <w:rPr>
          <w:rFonts w:asciiTheme="minorEastAsia" w:hAnsiTheme="minorEastAsia" w:cstheme="minorEastAsia" w:hint="eastAsia"/>
          <w:color w:val="000000" w:themeColor="text1"/>
        </w:rPr>
        <w:t>。</w:t>
      </w:r>
    </w:p>
    <w:p w:rsidR="00336761" w:rsidRDefault="00336761"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9A4C18"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四</w:t>
      </w:r>
      <w:r w:rsidR="00E7053C">
        <w:rPr>
          <w:rFonts w:asciiTheme="minorEastAsia" w:eastAsiaTheme="minorEastAsia" w:hAnsiTheme="minorEastAsia" w:cstheme="minorEastAsia" w:hint="eastAsia"/>
          <w:color w:val="000000" w:themeColor="text1"/>
        </w:rPr>
        <w:t>、重要提示</w:t>
      </w:r>
    </w:p>
    <w:p w:rsidR="004709AF"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4460C9">
        <w:rPr>
          <w:rFonts w:asciiTheme="minorEastAsia" w:eastAsiaTheme="minorEastAsia" w:hAnsiTheme="minorEastAsia" w:cstheme="minorEastAsia" w:hint="eastAsia"/>
          <w:color w:val="000000" w:themeColor="text1"/>
        </w:rPr>
        <w:t>.</w:t>
      </w:r>
      <w:r w:rsidR="004709AF" w:rsidRPr="004709AF">
        <w:rPr>
          <w:rFonts w:asciiTheme="minorEastAsia" w:eastAsiaTheme="minorEastAsia" w:hAnsiTheme="minorEastAsia" w:cstheme="minorEastAsia" w:hint="eastAsia"/>
          <w:color w:val="000000" w:themeColor="text1"/>
        </w:rPr>
        <w:t>目前，金鹰添润定期开放债券型发起式证券投资基金仍处于封闭期，暂不开放申购、赎回、转换等业务，开放申购、赎回、转换等业务的时间另行公告。</w:t>
      </w:r>
    </w:p>
    <w:p w:rsidR="0028120E" w:rsidRDefault="004709AF"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Pr>
          <w:rFonts w:asciiTheme="minorEastAsia" w:eastAsiaTheme="minorEastAsia" w:hAnsiTheme="minorEastAsia" w:cstheme="minorEastAsia"/>
          <w:color w:val="000000" w:themeColor="text1"/>
        </w:rPr>
        <w:t>.</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4709AF"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4460C9">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4709AF" w:rsidP="007A2EAF">
      <w:pPr>
        <w:pStyle w:val="a7"/>
        <w:spacing w:before="0" w:beforeAutospacing="0" w:after="0" w:afterAutospacing="0" w:line="360" w:lineRule="auto"/>
        <w:ind w:firstLine="420"/>
        <w:jc w:val="both"/>
        <w:rPr>
          <w:rFonts w:cs="Calibri"/>
        </w:rPr>
      </w:pPr>
      <w:r>
        <w:rPr>
          <w:rFonts w:asciiTheme="minorEastAsia" w:eastAsiaTheme="minorEastAsia" w:hAnsiTheme="minorEastAsia" w:cstheme="minorEastAsia"/>
          <w:color w:val="000000" w:themeColor="text1"/>
        </w:rPr>
        <w:lastRenderedPageBreak/>
        <w:t>4</w:t>
      </w:r>
      <w:r w:rsidR="004460C9">
        <w:rPr>
          <w:rFonts w:asciiTheme="minorEastAsia" w:eastAsiaTheme="minorEastAsia" w:hAnsiTheme="minorEastAsia" w:cstheme="minorEastAsia" w:hint="eastAsia"/>
          <w:color w:val="000000" w:themeColor="text1"/>
        </w:rPr>
        <w:t>.</w:t>
      </w:r>
      <w:r w:rsidR="007A2EAF" w:rsidRPr="007A2EAF">
        <w:rPr>
          <w:rFonts w:asciiTheme="minorEastAsia" w:eastAsiaTheme="minorEastAsia" w:hAnsiTheme="minorEastAsia" w:cstheme="minorEastAsia" w:hint="eastAsia"/>
          <w:color w:val="000000" w:themeColor="text1"/>
        </w:rPr>
        <w:t>本基金管理人其他基金如新增</w:t>
      </w:r>
      <w:r w:rsidR="00336761" w:rsidRPr="00336761">
        <w:rPr>
          <w:rFonts w:asciiTheme="minorEastAsia" w:eastAsiaTheme="minorEastAsia" w:hAnsiTheme="minorEastAsia" w:cstheme="minorEastAsia" w:hint="eastAsia"/>
          <w:color w:val="000000" w:themeColor="text1"/>
        </w:rPr>
        <w:t>上述机构</w:t>
      </w:r>
      <w:r w:rsidR="007A2EAF"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336761" w:rsidRDefault="00336761">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五</w:t>
      </w:r>
      <w:r w:rsidRPr="00336761">
        <w:rPr>
          <w:rFonts w:cs="Calibri"/>
        </w:rPr>
        <w:t>、投资者可以通过拨打上述机构客服电话或登录其网站咨询相关事宜，也可以通过本基金管理人以下方式了解有关情况：</w:t>
      </w:r>
    </w:p>
    <w:p w:rsidR="00336761" w:rsidRDefault="00336761">
      <w:pPr>
        <w:pStyle w:val="a7"/>
        <w:shd w:val="clear" w:color="auto" w:fill="FFFFFF"/>
        <w:adjustRightInd w:val="0"/>
        <w:snapToGrid w:val="0"/>
        <w:spacing w:before="0" w:beforeAutospacing="0" w:after="0" w:afterAutospacing="0" w:line="360" w:lineRule="auto"/>
        <w:ind w:firstLine="420"/>
        <w:jc w:val="both"/>
        <w:rPr>
          <w:rFonts w:cs="Calibri"/>
        </w:rPr>
      </w:pPr>
      <w:r w:rsidRPr="00336761">
        <w:rPr>
          <w:rFonts w:cs="Calibri"/>
        </w:rPr>
        <w:t>1</w:t>
      </w:r>
      <w:r w:rsidR="004460C9">
        <w:rPr>
          <w:rFonts w:cs="Calibri" w:hint="eastAsia"/>
        </w:rPr>
        <w:t>.</w:t>
      </w:r>
      <w:r w:rsidRPr="00336761">
        <w:rPr>
          <w:rFonts w:cs="Calibri"/>
        </w:rPr>
        <w:t>本基金管理人客服电话：</w:t>
      </w:r>
      <w:r>
        <w:rPr>
          <w:rFonts w:cs="Calibri"/>
        </w:rPr>
        <w:t>400-6135-888</w:t>
      </w:r>
    </w:p>
    <w:p w:rsidR="00A00AAF" w:rsidRPr="009877A4" w:rsidRDefault="00336761" w:rsidP="0003740A">
      <w:pPr>
        <w:pStyle w:val="a7"/>
        <w:shd w:val="clear" w:color="auto" w:fill="FFFFFF"/>
        <w:adjustRightInd w:val="0"/>
        <w:snapToGrid w:val="0"/>
        <w:spacing w:before="0" w:beforeAutospacing="0" w:after="0" w:afterAutospacing="0" w:line="360" w:lineRule="auto"/>
        <w:ind w:firstLine="420"/>
        <w:jc w:val="both"/>
        <w:rPr>
          <w:rFonts w:cs="Calibri"/>
        </w:rPr>
      </w:pPr>
      <w:r w:rsidRPr="00336761">
        <w:rPr>
          <w:rFonts w:cs="Calibri"/>
        </w:rPr>
        <w:t>2</w:t>
      </w:r>
      <w:r w:rsidR="004460C9">
        <w:rPr>
          <w:rFonts w:cs="Calibri" w:hint="eastAsia"/>
        </w:rPr>
        <w:t>.</w:t>
      </w:r>
      <w:r w:rsidRPr="00336761">
        <w:rPr>
          <w:rFonts w:cs="Calibri"/>
        </w:rPr>
        <w:t>本基金管理人公司公司网址：www.gefund.com.cn</w:t>
      </w:r>
    </w:p>
    <w:p w:rsidR="00110BE3" w:rsidRPr="00110BE3" w:rsidRDefault="00110BE3" w:rsidP="00B96832">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B96832">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w:t>
      </w:r>
      <w:r w:rsidR="004460C9">
        <w:rPr>
          <w:rFonts w:cs="Calibri"/>
        </w:rPr>
        <w:t>4</w:t>
      </w:r>
      <w:r w:rsidRPr="009C31EE">
        <w:rPr>
          <w:rFonts w:cs="Calibri" w:hint="eastAsia"/>
        </w:rPr>
        <w:t>年</w:t>
      </w:r>
      <w:r w:rsidR="004460C9">
        <w:rPr>
          <w:rFonts w:cs="Calibri"/>
        </w:rPr>
        <w:t>6</w:t>
      </w:r>
      <w:r w:rsidRPr="009C31EE">
        <w:rPr>
          <w:rFonts w:cs="Calibri" w:hint="eastAsia"/>
        </w:rPr>
        <w:t>月</w:t>
      </w:r>
      <w:r w:rsidR="004460C9">
        <w:rPr>
          <w:rFonts w:cs="Calibri"/>
        </w:rPr>
        <w:t>2</w:t>
      </w:r>
      <w:r w:rsidR="004709AF">
        <w:rPr>
          <w:rFonts w:cs="Calibri"/>
        </w:rPr>
        <w:t>4</w:t>
      </w:r>
      <w:bookmarkStart w:id="0" w:name="_GoBack"/>
      <w:bookmarkEnd w:id="0"/>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F55D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37" w:rsidRDefault="00CD5237" w:rsidP="00E3201D">
      <w:r>
        <w:separator/>
      </w:r>
    </w:p>
  </w:endnote>
  <w:endnote w:type="continuationSeparator" w:id="0">
    <w:p w:rsidR="00CD5237" w:rsidRDefault="00CD5237"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37" w:rsidRDefault="00CD5237" w:rsidP="00E3201D">
      <w:r>
        <w:separator/>
      </w:r>
    </w:p>
  </w:footnote>
  <w:footnote w:type="continuationSeparator" w:id="0">
    <w:p w:rsidR="00CD5237" w:rsidRDefault="00CD5237"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abstractNum w:abstractNumId="1">
    <w:nsid w:val="13240E38"/>
    <w:multiLevelType w:val="hybridMultilevel"/>
    <w:tmpl w:val="5CDCEC96"/>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5C56448"/>
    <w:multiLevelType w:val="hybridMultilevel"/>
    <w:tmpl w:val="B5EA6700"/>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B7512BE"/>
    <w:multiLevelType w:val="hybridMultilevel"/>
    <w:tmpl w:val="63C04124"/>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1980511"/>
    <w:multiLevelType w:val="hybridMultilevel"/>
    <w:tmpl w:val="02B8CD72"/>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4E370BF"/>
    <w:multiLevelType w:val="hybridMultilevel"/>
    <w:tmpl w:val="6112828C"/>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8836F52"/>
    <w:multiLevelType w:val="hybridMultilevel"/>
    <w:tmpl w:val="FBF6C3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EB92919"/>
    <w:multiLevelType w:val="hybridMultilevel"/>
    <w:tmpl w:val="9AEE4082"/>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14013D8"/>
    <w:multiLevelType w:val="hybridMultilevel"/>
    <w:tmpl w:val="15ACCF30"/>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3311E43"/>
    <w:multiLevelType w:val="hybridMultilevel"/>
    <w:tmpl w:val="2F3457D4"/>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8CC36E5"/>
    <w:multiLevelType w:val="hybridMultilevel"/>
    <w:tmpl w:val="6F4C14A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8E265E9"/>
    <w:multiLevelType w:val="hybridMultilevel"/>
    <w:tmpl w:val="E43C50A8"/>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F595A9B"/>
    <w:multiLevelType w:val="hybridMultilevel"/>
    <w:tmpl w:val="66649D1E"/>
    <w:lvl w:ilvl="0" w:tplc="29CC0672">
      <w:start w:val="1"/>
      <w:numFmt w:val="decimal"/>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9"/>
  </w:num>
  <w:num w:numId="3">
    <w:abstractNumId w:val="1"/>
  </w:num>
  <w:num w:numId="4">
    <w:abstractNumId w:val="4"/>
  </w:num>
  <w:num w:numId="5">
    <w:abstractNumId w:val="12"/>
  </w:num>
  <w:num w:numId="6">
    <w:abstractNumId w:val="8"/>
  </w:num>
  <w:num w:numId="7">
    <w:abstractNumId w:val="11"/>
  </w:num>
  <w:num w:numId="8">
    <w:abstractNumId w:val="7"/>
  </w:num>
  <w:num w:numId="9">
    <w:abstractNumId w:val="2"/>
  </w:num>
  <w:num w:numId="10">
    <w:abstractNumId w:val="3"/>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73BF"/>
    <w:rsid w:val="0002110F"/>
    <w:rsid w:val="000252A2"/>
    <w:rsid w:val="00036A82"/>
    <w:rsid w:val="0003740A"/>
    <w:rsid w:val="000468D4"/>
    <w:rsid w:val="0007668C"/>
    <w:rsid w:val="00095870"/>
    <w:rsid w:val="000B1AB2"/>
    <w:rsid w:val="000D170F"/>
    <w:rsid w:val="000E10B7"/>
    <w:rsid w:val="000E7093"/>
    <w:rsid w:val="000F2B98"/>
    <w:rsid w:val="00110BE3"/>
    <w:rsid w:val="00112143"/>
    <w:rsid w:val="00112272"/>
    <w:rsid w:val="0012208C"/>
    <w:rsid w:val="00126069"/>
    <w:rsid w:val="00142F9B"/>
    <w:rsid w:val="00156402"/>
    <w:rsid w:val="00163302"/>
    <w:rsid w:val="00172A27"/>
    <w:rsid w:val="00175014"/>
    <w:rsid w:val="00177246"/>
    <w:rsid w:val="0018431F"/>
    <w:rsid w:val="001A3D57"/>
    <w:rsid w:val="001B433C"/>
    <w:rsid w:val="001C22C6"/>
    <w:rsid w:val="001F2269"/>
    <w:rsid w:val="002000F3"/>
    <w:rsid w:val="00204212"/>
    <w:rsid w:val="002173DE"/>
    <w:rsid w:val="002549A3"/>
    <w:rsid w:val="00266540"/>
    <w:rsid w:val="0026767D"/>
    <w:rsid w:val="0028120E"/>
    <w:rsid w:val="0028234C"/>
    <w:rsid w:val="00293ED1"/>
    <w:rsid w:val="002A228B"/>
    <w:rsid w:val="002B0453"/>
    <w:rsid w:val="002B1024"/>
    <w:rsid w:val="002B1557"/>
    <w:rsid w:val="002B3132"/>
    <w:rsid w:val="002B4142"/>
    <w:rsid w:val="002B6B49"/>
    <w:rsid w:val="002C28DF"/>
    <w:rsid w:val="002C547F"/>
    <w:rsid w:val="002C5740"/>
    <w:rsid w:val="002F2CB1"/>
    <w:rsid w:val="00305513"/>
    <w:rsid w:val="00317240"/>
    <w:rsid w:val="00336761"/>
    <w:rsid w:val="00336D66"/>
    <w:rsid w:val="00347FF3"/>
    <w:rsid w:val="00364825"/>
    <w:rsid w:val="003867F5"/>
    <w:rsid w:val="00390CB1"/>
    <w:rsid w:val="00391F2A"/>
    <w:rsid w:val="003929A4"/>
    <w:rsid w:val="00395C91"/>
    <w:rsid w:val="003970C3"/>
    <w:rsid w:val="003A37E0"/>
    <w:rsid w:val="003B3268"/>
    <w:rsid w:val="003B6DB3"/>
    <w:rsid w:val="003C4285"/>
    <w:rsid w:val="003C7AEC"/>
    <w:rsid w:val="003D3C4C"/>
    <w:rsid w:val="003E168F"/>
    <w:rsid w:val="003E1F7B"/>
    <w:rsid w:val="003F276E"/>
    <w:rsid w:val="0040510E"/>
    <w:rsid w:val="004077C7"/>
    <w:rsid w:val="00420793"/>
    <w:rsid w:val="00427D3B"/>
    <w:rsid w:val="0043356C"/>
    <w:rsid w:val="004422DC"/>
    <w:rsid w:val="00445F84"/>
    <w:rsid w:val="004460C9"/>
    <w:rsid w:val="00447446"/>
    <w:rsid w:val="004511C4"/>
    <w:rsid w:val="004709AF"/>
    <w:rsid w:val="00480BA6"/>
    <w:rsid w:val="004840C8"/>
    <w:rsid w:val="004944A3"/>
    <w:rsid w:val="004A0E27"/>
    <w:rsid w:val="004A1B5A"/>
    <w:rsid w:val="004A47C9"/>
    <w:rsid w:val="004B1512"/>
    <w:rsid w:val="004B7B90"/>
    <w:rsid w:val="004C2073"/>
    <w:rsid w:val="004C26F2"/>
    <w:rsid w:val="004C523F"/>
    <w:rsid w:val="004D0845"/>
    <w:rsid w:val="004E2142"/>
    <w:rsid w:val="004F3FA4"/>
    <w:rsid w:val="00500661"/>
    <w:rsid w:val="00504054"/>
    <w:rsid w:val="00506924"/>
    <w:rsid w:val="00512902"/>
    <w:rsid w:val="00522178"/>
    <w:rsid w:val="00534398"/>
    <w:rsid w:val="00540ED1"/>
    <w:rsid w:val="0055048C"/>
    <w:rsid w:val="00566D76"/>
    <w:rsid w:val="005670F1"/>
    <w:rsid w:val="005706A4"/>
    <w:rsid w:val="00573E8B"/>
    <w:rsid w:val="00581762"/>
    <w:rsid w:val="00595DA3"/>
    <w:rsid w:val="005973D4"/>
    <w:rsid w:val="005A54A0"/>
    <w:rsid w:val="005B5CF4"/>
    <w:rsid w:val="005B7934"/>
    <w:rsid w:val="005E5033"/>
    <w:rsid w:val="005F0540"/>
    <w:rsid w:val="00627EE6"/>
    <w:rsid w:val="00631BBC"/>
    <w:rsid w:val="00636821"/>
    <w:rsid w:val="006434F1"/>
    <w:rsid w:val="00646793"/>
    <w:rsid w:val="006554A2"/>
    <w:rsid w:val="00680493"/>
    <w:rsid w:val="006928B4"/>
    <w:rsid w:val="006A3223"/>
    <w:rsid w:val="006C04A4"/>
    <w:rsid w:val="006D02E7"/>
    <w:rsid w:val="006D2215"/>
    <w:rsid w:val="006D717C"/>
    <w:rsid w:val="006E645B"/>
    <w:rsid w:val="006E6BD9"/>
    <w:rsid w:val="006E71E1"/>
    <w:rsid w:val="006F3887"/>
    <w:rsid w:val="006F78DC"/>
    <w:rsid w:val="0070230C"/>
    <w:rsid w:val="0070267D"/>
    <w:rsid w:val="00721324"/>
    <w:rsid w:val="0072741B"/>
    <w:rsid w:val="00734FEC"/>
    <w:rsid w:val="0073514B"/>
    <w:rsid w:val="007424F2"/>
    <w:rsid w:val="007512E6"/>
    <w:rsid w:val="00753DF9"/>
    <w:rsid w:val="00763CA6"/>
    <w:rsid w:val="00767674"/>
    <w:rsid w:val="007765D6"/>
    <w:rsid w:val="00786DAF"/>
    <w:rsid w:val="0079226C"/>
    <w:rsid w:val="007A2EAF"/>
    <w:rsid w:val="007A6E50"/>
    <w:rsid w:val="007B5E31"/>
    <w:rsid w:val="007C4602"/>
    <w:rsid w:val="007E2426"/>
    <w:rsid w:val="007E7EC7"/>
    <w:rsid w:val="007F166F"/>
    <w:rsid w:val="007F2F3E"/>
    <w:rsid w:val="007F31CD"/>
    <w:rsid w:val="007F42E4"/>
    <w:rsid w:val="007F7440"/>
    <w:rsid w:val="0082536C"/>
    <w:rsid w:val="0082716F"/>
    <w:rsid w:val="008512B8"/>
    <w:rsid w:val="00853FC0"/>
    <w:rsid w:val="00860E1D"/>
    <w:rsid w:val="00864CDD"/>
    <w:rsid w:val="008769F5"/>
    <w:rsid w:val="0088224E"/>
    <w:rsid w:val="008919C0"/>
    <w:rsid w:val="008A01A0"/>
    <w:rsid w:val="008A29CE"/>
    <w:rsid w:val="008B0A9C"/>
    <w:rsid w:val="008B2C05"/>
    <w:rsid w:val="008B4F54"/>
    <w:rsid w:val="008C6132"/>
    <w:rsid w:val="008E575C"/>
    <w:rsid w:val="008E589A"/>
    <w:rsid w:val="008F4D47"/>
    <w:rsid w:val="008F5130"/>
    <w:rsid w:val="00916226"/>
    <w:rsid w:val="0092152B"/>
    <w:rsid w:val="009409D9"/>
    <w:rsid w:val="00941216"/>
    <w:rsid w:val="00950910"/>
    <w:rsid w:val="00953E06"/>
    <w:rsid w:val="0096184E"/>
    <w:rsid w:val="00965497"/>
    <w:rsid w:val="009877A4"/>
    <w:rsid w:val="009946DF"/>
    <w:rsid w:val="009974A3"/>
    <w:rsid w:val="009A0349"/>
    <w:rsid w:val="009A4C18"/>
    <w:rsid w:val="009B7508"/>
    <w:rsid w:val="009C31EE"/>
    <w:rsid w:val="009C6818"/>
    <w:rsid w:val="009D0F44"/>
    <w:rsid w:val="009D5A96"/>
    <w:rsid w:val="009E74F6"/>
    <w:rsid w:val="009F38CE"/>
    <w:rsid w:val="00A00AAF"/>
    <w:rsid w:val="00A262A2"/>
    <w:rsid w:val="00A26A8C"/>
    <w:rsid w:val="00A46BE9"/>
    <w:rsid w:val="00A522B4"/>
    <w:rsid w:val="00A70945"/>
    <w:rsid w:val="00A73164"/>
    <w:rsid w:val="00A7545A"/>
    <w:rsid w:val="00A8783F"/>
    <w:rsid w:val="00A9403B"/>
    <w:rsid w:val="00AC37B0"/>
    <w:rsid w:val="00AD4BE8"/>
    <w:rsid w:val="00AD6E8D"/>
    <w:rsid w:val="00AF1A2D"/>
    <w:rsid w:val="00AF76F6"/>
    <w:rsid w:val="00B03E80"/>
    <w:rsid w:val="00B0516D"/>
    <w:rsid w:val="00B336E6"/>
    <w:rsid w:val="00B362C6"/>
    <w:rsid w:val="00B413C8"/>
    <w:rsid w:val="00B51EF0"/>
    <w:rsid w:val="00B632AB"/>
    <w:rsid w:val="00B679FB"/>
    <w:rsid w:val="00B716B5"/>
    <w:rsid w:val="00B80061"/>
    <w:rsid w:val="00B85DD2"/>
    <w:rsid w:val="00B86163"/>
    <w:rsid w:val="00B90052"/>
    <w:rsid w:val="00B96832"/>
    <w:rsid w:val="00B975FE"/>
    <w:rsid w:val="00BB0D06"/>
    <w:rsid w:val="00BB477F"/>
    <w:rsid w:val="00BB5BDE"/>
    <w:rsid w:val="00BC093E"/>
    <w:rsid w:val="00BC2167"/>
    <w:rsid w:val="00BC38F5"/>
    <w:rsid w:val="00BC560B"/>
    <w:rsid w:val="00BC7D60"/>
    <w:rsid w:val="00BD01CC"/>
    <w:rsid w:val="00BE1FB8"/>
    <w:rsid w:val="00C023A1"/>
    <w:rsid w:val="00C06005"/>
    <w:rsid w:val="00C27637"/>
    <w:rsid w:val="00C3239A"/>
    <w:rsid w:val="00C32B06"/>
    <w:rsid w:val="00C4122E"/>
    <w:rsid w:val="00C51529"/>
    <w:rsid w:val="00C51C64"/>
    <w:rsid w:val="00C52FB1"/>
    <w:rsid w:val="00C5608E"/>
    <w:rsid w:val="00C737CA"/>
    <w:rsid w:val="00C85F7F"/>
    <w:rsid w:val="00CA1413"/>
    <w:rsid w:val="00CA2869"/>
    <w:rsid w:val="00CA36CF"/>
    <w:rsid w:val="00CA3B8C"/>
    <w:rsid w:val="00CA62D2"/>
    <w:rsid w:val="00CA73E7"/>
    <w:rsid w:val="00CD2771"/>
    <w:rsid w:val="00CD3177"/>
    <w:rsid w:val="00CD5237"/>
    <w:rsid w:val="00D06A90"/>
    <w:rsid w:val="00D074E2"/>
    <w:rsid w:val="00D53FF4"/>
    <w:rsid w:val="00D61C64"/>
    <w:rsid w:val="00D71EF8"/>
    <w:rsid w:val="00D80B6C"/>
    <w:rsid w:val="00D81E13"/>
    <w:rsid w:val="00D861DB"/>
    <w:rsid w:val="00D90F6C"/>
    <w:rsid w:val="00DA199C"/>
    <w:rsid w:val="00DA5245"/>
    <w:rsid w:val="00DB229B"/>
    <w:rsid w:val="00DB3A6F"/>
    <w:rsid w:val="00DB40C6"/>
    <w:rsid w:val="00DC079C"/>
    <w:rsid w:val="00DC4CB3"/>
    <w:rsid w:val="00DC5262"/>
    <w:rsid w:val="00DC628D"/>
    <w:rsid w:val="00DC7DCB"/>
    <w:rsid w:val="00DF7084"/>
    <w:rsid w:val="00DF7CC2"/>
    <w:rsid w:val="00E0053A"/>
    <w:rsid w:val="00E056F3"/>
    <w:rsid w:val="00E11A3D"/>
    <w:rsid w:val="00E13E9E"/>
    <w:rsid w:val="00E14296"/>
    <w:rsid w:val="00E22DBA"/>
    <w:rsid w:val="00E26862"/>
    <w:rsid w:val="00E3201D"/>
    <w:rsid w:val="00E34D91"/>
    <w:rsid w:val="00E365D5"/>
    <w:rsid w:val="00E46B9C"/>
    <w:rsid w:val="00E57911"/>
    <w:rsid w:val="00E7053C"/>
    <w:rsid w:val="00E723F9"/>
    <w:rsid w:val="00E778B5"/>
    <w:rsid w:val="00E87CD2"/>
    <w:rsid w:val="00E9220D"/>
    <w:rsid w:val="00E96BB0"/>
    <w:rsid w:val="00EA1F68"/>
    <w:rsid w:val="00EA60E4"/>
    <w:rsid w:val="00EA695E"/>
    <w:rsid w:val="00EA7DD1"/>
    <w:rsid w:val="00EC64A9"/>
    <w:rsid w:val="00EE68E6"/>
    <w:rsid w:val="00F14BCF"/>
    <w:rsid w:val="00F23A49"/>
    <w:rsid w:val="00F23E9A"/>
    <w:rsid w:val="00F3179E"/>
    <w:rsid w:val="00F31BC6"/>
    <w:rsid w:val="00F53580"/>
    <w:rsid w:val="00F55D77"/>
    <w:rsid w:val="00F55EE7"/>
    <w:rsid w:val="00F624D8"/>
    <w:rsid w:val="00F77C3A"/>
    <w:rsid w:val="00F8242D"/>
    <w:rsid w:val="00F8346B"/>
    <w:rsid w:val="00F90202"/>
    <w:rsid w:val="00F92C9B"/>
    <w:rsid w:val="00F96B9E"/>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7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F55D7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55D77"/>
    <w:pPr>
      <w:jc w:val="left"/>
    </w:pPr>
  </w:style>
  <w:style w:type="paragraph" w:styleId="a4">
    <w:name w:val="Balloon Text"/>
    <w:basedOn w:val="a"/>
    <w:link w:val="Char0"/>
    <w:uiPriority w:val="99"/>
    <w:semiHidden/>
    <w:unhideWhenUsed/>
    <w:qFormat/>
    <w:rsid w:val="00F55D77"/>
    <w:rPr>
      <w:sz w:val="18"/>
      <w:szCs w:val="18"/>
    </w:rPr>
  </w:style>
  <w:style w:type="paragraph" w:styleId="a5">
    <w:name w:val="footer"/>
    <w:basedOn w:val="a"/>
    <w:link w:val="Char1"/>
    <w:uiPriority w:val="99"/>
    <w:unhideWhenUsed/>
    <w:qFormat/>
    <w:rsid w:val="00F55D7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55D7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55D7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55D77"/>
    <w:rPr>
      <w:b/>
      <w:bCs/>
    </w:rPr>
  </w:style>
  <w:style w:type="table" w:styleId="a9">
    <w:name w:val="Table Grid"/>
    <w:basedOn w:val="a1"/>
    <w:uiPriority w:val="59"/>
    <w:qFormat/>
    <w:rsid w:val="00F55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F55D77"/>
    <w:rPr>
      <w:color w:val="4C4C4C"/>
      <w:u w:val="none"/>
    </w:rPr>
  </w:style>
  <w:style w:type="character" w:styleId="ab">
    <w:name w:val="Emphasis"/>
    <w:basedOn w:val="a0"/>
    <w:uiPriority w:val="20"/>
    <w:qFormat/>
    <w:rsid w:val="00F55D77"/>
  </w:style>
  <w:style w:type="character" w:styleId="HTML">
    <w:name w:val="HTML Acronym"/>
    <w:basedOn w:val="a0"/>
    <w:uiPriority w:val="99"/>
    <w:semiHidden/>
    <w:unhideWhenUsed/>
    <w:qFormat/>
    <w:rsid w:val="00F55D77"/>
  </w:style>
  <w:style w:type="character" w:styleId="ac">
    <w:name w:val="Hyperlink"/>
    <w:basedOn w:val="a0"/>
    <w:uiPriority w:val="99"/>
    <w:unhideWhenUsed/>
    <w:qFormat/>
    <w:rsid w:val="00F55D77"/>
    <w:rPr>
      <w:color w:val="0000FF"/>
      <w:u w:val="single"/>
    </w:rPr>
  </w:style>
  <w:style w:type="character" w:styleId="ad">
    <w:name w:val="annotation reference"/>
    <w:basedOn w:val="a0"/>
    <w:uiPriority w:val="99"/>
    <w:semiHidden/>
    <w:unhideWhenUsed/>
    <w:qFormat/>
    <w:rsid w:val="00F55D77"/>
    <w:rPr>
      <w:sz w:val="21"/>
      <w:szCs w:val="21"/>
    </w:rPr>
  </w:style>
  <w:style w:type="character" w:customStyle="1" w:styleId="3Char">
    <w:name w:val="标题 3 Char"/>
    <w:basedOn w:val="a0"/>
    <w:link w:val="3"/>
    <w:uiPriority w:val="9"/>
    <w:qFormat/>
    <w:rsid w:val="00F55D77"/>
    <w:rPr>
      <w:rFonts w:ascii="宋体" w:eastAsia="宋体" w:hAnsi="宋体" w:cs="宋体"/>
      <w:b/>
      <w:bCs/>
      <w:kern w:val="0"/>
      <w:sz w:val="27"/>
      <w:szCs w:val="27"/>
    </w:rPr>
  </w:style>
  <w:style w:type="character" w:customStyle="1" w:styleId="span4">
    <w:name w:val="span4"/>
    <w:basedOn w:val="a0"/>
    <w:qFormat/>
    <w:rsid w:val="00F55D77"/>
  </w:style>
  <w:style w:type="character" w:customStyle="1" w:styleId="span01">
    <w:name w:val="span01"/>
    <w:basedOn w:val="a0"/>
    <w:qFormat/>
    <w:rsid w:val="00F55D77"/>
    <w:rPr>
      <w:sz w:val="24"/>
      <w:szCs w:val="24"/>
    </w:rPr>
  </w:style>
  <w:style w:type="character" w:customStyle="1" w:styleId="icon2">
    <w:name w:val="icon2"/>
    <w:basedOn w:val="a0"/>
    <w:qFormat/>
    <w:rsid w:val="00F55D77"/>
  </w:style>
  <w:style w:type="character" w:customStyle="1" w:styleId="fqrsyliswk">
    <w:name w:val="fqrsyl_iswk"/>
    <w:basedOn w:val="a0"/>
    <w:qFormat/>
    <w:rsid w:val="00F55D77"/>
  </w:style>
  <w:style w:type="character" w:customStyle="1" w:styleId="span03">
    <w:name w:val="span03"/>
    <w:basedOn w:val="a0"/>
    <w:qFormat/>
    <w:rsid w:val="00F55D77"/>
  </w:style>
  <w:style w:type="character" w:customStyle="1" w:styleId="span031">
    <w:name w:val="span031"/>
    <w:basedOn w:val="a0"/>
    <w:qFormat/>
    <w:rsid w:val="00F55D77"/>
  </w:style>
  <w:style w:type="character" w:customStyle="1" w:styleId="fmwfsyiswk">
    <w:name w:val="fmwfsy_iswk"/>
    <w:basedOn w:val="a0"/>
    <w:qFormat/>
    <w:rsid w:val="00F55D77"/>
  </w:style>
  <w:style w:type="character" w:customStyle="1" w:styleId="span1">
    <w:name w:val="span1"/>
    <w:basedOn w:val="a0"/>
    <w:qFormat/>
    <w:rsid w:val="00F55D77"/>
  </w:style>
  <w:style w:type="character" w:customStyle="1" w:styleId="span2">
    <w:name w:val="span2"/>
    <w:basedOn w:val="a0"/>
    <w:qFormat/>
    <w:rsid w:val="00F55D77"/>
  </w:style>
  <w:style w:type="character" w:customStyle="1" w:styleId="hover46">
    <w:name w:val="hover46"/>
    <w:basedOn w:val="a0"/>
    <w:qFormat/>
    <w:rsid w:val="00F55D77"/>
    <w:rPr>
      <w:shd w:val="clear" w:color="auto" w:fill="FEF2E7"/>
    </w:rPr>
  </w:style>
  <w:style w:type="character" w:customStyle="1" w:styleId="hover47">
    <w:name w:val="hover47"/>
    <w:basedOn w:val="a0"/>
    <w:qFormat/>
    <w:rsid w:val="00F55D77"/>
    <w:rPr>
      <w:color w:val="F88413"/>
    </w:rPr>
  </w:style>
  <w:style w:type="character" w:customStyle="1" w:styleId="span02">
    <w:name w:val="span02"/>
    <w:basedOn w:val="a0"/>
    <w:qFormat/>
    <w:rsid w:val="00F55D77"/>
    <w:rPr>
      <w:sz w:val="24"/>
      <w:szCs w:val="24"/>
    </w:rPr>
  </w:style>
  <w:style w:type="character" w:customStyle="1" w:styleId="span021">
    <w:name w:val="span021"/>
    <w:basedOn w:val="a0"/>
    <w:qFormat/>
    <w:rsid w:val="00F55D77"/>
  </w:style>
  <w:style w:type="character" w:customStyle="1" w:styleId="on26">
    <w:name w:val="on26"/>
    <w:basedOn w:val="a0"/>
    <w:qFormat/>
    <w:rsid w:val="00F55D77"/>
    <w:rPr>
      <w:color w:val="F88413"/>
    </w:rPr>
  </w:style>
  <w:style w:type="character" w:customStyle="1" w:styleId="on27">
    <w:name w:val="on27"/>
    <w:basedOn w:val="a0"/>
    <w:qFormat/>
    <w:rsid w:val="00F55D77"/>
  </w:style>
  <w:style w:type="character" w:customStyle="1" w:styleId="span3">
    <w:name w:val="span3"/>
    <w:basedOn w:val="a0"/>
    <w:qFormat/>
    <w:rsid w:val="00F55D77"/>
  </w:style>
  <w:style w:type="character" w:customStyle="1" w:styleId="span011">
    <w:name w:val="span011"/>
    <w:basedOn w:val="a0"/>
    <w:qFormat/>
    <w:rsid w:val="00F55D77"/>
  </w:style>
  <w:style w:type="character" w:customStyle="1" w:styleId="icon">
    <w:name w:val="icon"/>
    <w:basedOn w:val="a0"/>
    <w:qFormat/>
    <w:rsid w:val="00F55D77"/>
  </w:style>
  <w:style w:type="character" w:customStyle="1" w:styleId="hover44">
    <w:name w:val="hover44"/>
    <w:basedOn w:val="a0"/>
    <w:qFormat/>
    <w:rsid w:val="00F55D77"/>
    <w:rPr>
      <w:shd w:val="clear" w:color="auto" w:fill="FEF2E7"/>
    </w:rPr>
  </w:style>
  <w:style w:type="character" w:customStyle="1" w:styleId="hover45">
    <w:name w:val="hover45"/>
    <w:basedOn w:val="a0"/>
    <w:qFormat/>
    <w:rsid w:val="00F55D77"/>
    <w:rPr>
      <w:color w:val="F88413"/>
    </w:rPr>
  </w:style>
  <w:style w:type="character" w:customStyle="1" w:styleId="on">
    <w:name w:val="on"/>
    <w:basedOn w:val="a0"/>
    <w:qFormat/>
    <w:rsid w:val="00F55D77"/>
    <w:rPr>
      <w:color w:val="F88413"/>
    </w:rPr>
  </w:style>
  <w:style w:type="character" w:customStyle="1" w:styleId="on1">
    <w:name w:val="on1"/>
    <w:basedOn w:val="a0"/>
    <w:qFormat/>
    <w:rsid w:val="00F55D77"/>
  </w:style>
  <w:style w:type="character" w:customStyle="1" w:styleId="Char2">
    <w:name w:val="页眉 Char"/>
    <w:basedOn w:val="a0"/>
    <w:link w:val="a6"/>
    <w:uiPriority w:val="99"/>
    <w:qFormat/>
    <w:rsid w:val="00F55D7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F55D77"/>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F55D7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F55D7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F55D77"/>
    <w:rPr>
      <w:rFonts w:asciiTheme="minorHAnsi" w:eastAsiaTheme="minorEastAsia" w:hAnsiTheme="minorHAnsi" w:cstheme="minorBidi"/>
      <w:kern w:val="2"/>
      <w:sz w:val="18"/>
      <w:szCs w:val="18"/>
    </w:rPr>
  </w:style>
  <w:style w:type="character" w:customStyle="1" w:styleId="hover43">
    <w:name w:val="hover43"/>
    <w:basedOn w:val="a0"/>
    <w:qFormat/>
    <w:rsid w:val="00F55D77"/>
    <w:rPr>
      <w:color w:val="F88413"/>
    </w:rPr>
  </w:style>
  <w:style w:type="paragraph" w:customStyle="1" w:styleId="Default">
    <w:name w:val="Default"/>
    <w:qFormat/>
    <w:rsid w:val="00F55D77"/>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F55D77"/>
    <w:rPr>
      <w:color w:val="F88413"/>
    </w:rPr>
  </w:style>
  <w:style w:type="character" w:customStyle="1" w:styleId="hover1">
    <w:name w:val="hover1"/>
    <w:basedOn w:val="a0"/>
    <w:qFormat/>
    <w:rsid w:val="00F55D77"/>
    <w:rPr>
      <w:shd w:val="clear" w:color="auto" w:fill="FEF2E7"/>
    </w:rPr>
  </w:style>
  <w:style w:type="character" w:customStyle="1" w:styleId="hover42">
    <w:name w:val="hover42"/>
    <w:basedOn w:val="a0"/>
    <w:qFormat/>
    <w:rsid w:val="00F55D77"/>
    <w:rPr>
      <w:shd w:val="clear" w:color="auto" w:fill="FEF2E7"/>
    </w:rPr>
  </w:style>
  <w:style w:type="character" w:customStyle="1" w:styleId="on3">
    <w:name w:val="on3"/>
    <w:basedOn w:val="a0"/>
    <w:qFormat/>
    <w:rsid w:val="00F55D77"/>
  </w:style>
  <w:style w:type="character" w:customStyle="1" w:styleId="on4">
    <w:name w:val="on4"/>
    <w:basedOn w:val="a0"/>
    <w:qFormat/>
    <w:rsid w:val="00F55D77"/>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36093263">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93953633">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595093471">
      <w:bodyDiv w:val="1"/>
      <w:marLeft w:val="0"/>
      <w:marRight w:val="0"/>
      <w:marTop w:val="0"/>
      <w:marBottom w:val="0"/>
      <w:divBdr>
        <w:top w:val="none" w:sz="0" w:space="0" w:color="auto"/>
        <w:left w:val="none" w:sz="0" w:space="0" w:color="auto"/>
        <w:bottom w:val="none" w:sz="0" w:space="0" w:color="auto"/>
        <w:right w:val="none" w:sz="0" w:space="0" w:color="auto"/>
      </w:divBdr>
    </w:div>
    <w:div w:id="698243736">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786657840">
      <w:bodyDiv w:val="1"/>
      <w:marLeft w:val="0"/>
      <w:marRight w:val="0"/>
      <w:marTop w:val="0"/>
      <w:marBottom w:val="0"/>
      <w:divBdr>
        <w:top w:val="none" w:sz="0" w:space="0" w:color="auto"/>
        <w:left w:val="none" w:sz="0" w:space="0" w:color="auto"/>
        <w:bottom w:val="none" w:sz="0" w:space="0" w:color="auto"/>
        <w:right w:val="none" w:sz="0" w:space="0" w:color="auto"/>
      </w:divBdr>
    </w:div>
    <w:div w:id="1019698695">
      <w:bodyDiv w:val="1"/>
      <w:marLeft w:val="0"/>
      <w:marRight w:val="0"/>
      <w:marTop w:val="0"/>
      <w:marBottom w:val="0"/>
      <w:divBdr>
        <w:top w:val="none" w:sz="0" w:space="0" w:color="auto"/>
        <w:left w:val="none" w:sz="0" w:space="0" w:color="auto"/>
        <w:bottom w:val="none" w:sz="0" w:space="0" w:color="auto"/>
        <w:right w:val="none" w:sz="0" w:space="0" w:color="auto"/>
      </w:divBdr>
    </w:div>
    <w:div w:id="1126779538">
      <w:bodyDiv w:val="1"/>
      <w:marLeft w:val="0"/>
      <w:marRight w:val="0"/>
      <w:marTop w:val="0"/>
      <w:marBottom w:val="0"/>
      <w:divBdr>
        <w:top w:val="none" w:sz="0" w:space="0" w:color="auto"/>
        <w:left w:val="none" w:sz="0" w:space="0" w:color="auto"/>
        <w:bottom w:val="none" w:sz="0" w:space="0" w:color="auto"/>
        <w:right w:val="none" w:sz="0" w:space="0" w:color="auto"/>
      </w:divBdr>
    </w:div>
    <w:div w:id="1162894727">
      <w:bodyDiv w:val="1"/>
      <w:marLeft w:val="0"/>
      <w:marRight w:val="0"/>
      <w:marTop w:val="0"/>
      <w:marBottom w:val="0"/>
      <w:divBdr>
        <w:top w:val="none" w:sz="0" w:space="0" w:color="auto"/>
        <w:left w:val="none" w:sz="0" w:space="0" w:color="auto"/>
        <w:bottom w:val="none" w:sz="0" w:space="0" w:color="auto"/>
        <w:right w:val="none" w:sz="0" w:space="0" w:color="auto"/>
      </w:divBdr>
    </w:div>
    <w:div w:id="134671219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44643058">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818842449">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77046540">
      <w:bodyDiv w:val="1"/>
      <w:marLeft w:val="0"/>
      <w:marRight w:val="0"/>
      <w:marTop w:val="0"/>
      <w:marBottom w:val="0"/>
      <w:divBdr>
        <w:top w:val="none" w:sz="0" w:space="0" w:color="auto"/>
        <w:left w:val="none" w:sz="0" w:space="0" w:color="auto"/>
        <w:bottom w:val="none" w:sz="0" w:space="0" w:color="auto"/>
        <w:right w:val="none" w:sz="0" w:space="0" w:color="auto"/>
      </w:divBdr>
    </w:div>
    <w:div w:id="2082099767">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Office Word</Application>
  <DocSecurity>4</DocSecurity>
  <Lines>12</Lines>
  <Paragraphs>3</Paragraphs>
  <ScaleCrop>false</ScaleCrop>
  <Company>Microsoft</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2024-06-23T16:01:00Z</dcterms:created>
  <dcterms:modified xsi:type="dcterms:W3CDTF">2024-06-23T16:01:00Z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