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17" w:rsidRDefault="004244B1">
      <w:pPr>
        <w:pStyle w:val="a3"/>
        <w:shd w:val="clear" w:color="auto" w:fill="FFFFFF"/>
        <w:spacing w:before="240" w:beforeAutospacing="0" w:after="0" w:afterAutospacing="0"/>
        <w:jc w:val="center"/>
        <w:rPr>
          <w:rFonts w:ascii="Arial" w:eastAsiaTheme="majorEastAsia" w:hAnsi="Arial" w:cs="Arial"/>
          <w:b/>
          <w:bCs/>
          <w:color w:val="333333"/>
          <w:sz w:val="32"/>
          <w:szCs w:val="32"/>
        </w:rPr>
      </w:pPr>
      <w:r>
        <w:rPr>
          <w:rFonts w:ascii="Arial" w:eastAsiaTheme="majorEastAsia" w:hAnsi="Arial" w:cs="Arial"/>
          <w:b/>
          <w:bCs/>
          <w:color w:val="333333"/>
          <w:sz w:val="32"/>
          <w:szCs w:val="32"/>
        </w:rPr>
        <w:t>弘毅远方高端制造混合型发起式证券投资基金</w:t>
      </w:r>
    </w:p>
    <w:p w:rsidR="00F95E17" w:rsidRDefault="004244B1">
      <w:pPr>
        <w:pStyle w:val="a3"/>
        <w:shd w:val="clear" w:color="auto" w:fill="FFFFFF"/>
        <w:spacing w:before="240" w:beforeAutospacing="0" w:after="0" w:afterAutospacing="0"/>
        <w:jc w:val="center"/>
        <w:rPr>
          <w:rFonts w:ascii="Arial" w:eastAsiaTheme="majorEastAsia" w:hAnsi="Arial" w:cs="Arial"/>
          <w:b/>
          <w:bCs/>
          <w:color w:val="333333"/>
          <w:sz w:val="32"/>
          <w:szCs w:val="32"/>
        </w:rPr>
      </w:pPr>
      <w:r>
        <w:rPr>
          <w:rFonts w:ascii="Arial" w:eastAsiaTheme="majorEastAsia" w:hAnsi="Arial" w:cs="Arial"/>
          <w:b/>
          <w:bCs/>
          <w:color w:val="333333"/>
          <w:sz w:val="32"/>
          <w:szCs w:val="32"/>
        </w:rPr>
        <w:t>剩余财产分配公告</w:t>
      </w:r>
    </w:p>
    <w:p w:rsidR="00F95E17" w:rsidRDefault="00F95E17">
      <w:pPr>
        <w:pStyle w:val="a3"/>
        <w:shd w:val="clear" w:color="auto" w:fill="FFFFFF"/>
        <w:spacing w:before="0" w:beforeAutospacing="0" w:after="0" w:afterAutospacing="0" w:line="420" w:lineRule="atLeast"/>
        <w:jc w:val="both"/>
        <w:rPr>
          <w:rFonts w:ascii="Arial" w:eastAsiaTheme="majorEastAsia" w:hAnsi="Arial" w:cs="Arial"/>
          <w:color w:val="333333"/>
        </w:rPr>
      </w:pPr>
    </w:p>
    <w:p w:rsidR="00F95E17" w:rsidRDefault="004244B1">
      <w:pPr>
        <w:pStyle w:val="a3"/>
        <w:shd w:val="clear" w:color="auto" w:fill="FFFFFF"/>
        <w:spacing w:before="240" w:beforeAutospacing="0" w:after="0" w:afterAutospacing="0" w:line="420" w:lineRule="atLeast"/>
        <w:ind w:firstLine="420"/>
        <w:jc w:val="both"/>
        <w:rPr>
          <w:rFonts w:ascii="Arial" w:eastAsiaTheme="majorEastAsia" w:hAnsi="Arial" w:cs="Arial"/>
          <w:color w:val="333333"/>
        </w:rPr>
      </w:pPr>
      <w:r>
        <w:rPr>
          <w:rFonts w:ascii="Arial" w:eastAsiaTheme="majorEastAsia" w:hAnsi="Arial" w:cs="Arial"/>
          <w:color w:val="333333"/>
        </w:rPr>
        <w:t>根据《中华人民共和国证券投资基金法》、《公开募集证券投资基金运作管理办法》及《弘毅远方高端制造混合型发起式证券投资基金基金合同》（以下简称</w:t>
      </w:r>
      <w:r>
        <w:rPr>
          <w:rFonts w:ascii="Arial" w:eastAsiaTheme="majorEastAsia" w:hAnsi="Arial" w:cs="Arial"/>
          <w:color w:val="333333"/>
        </w:rPr>
        <w:t>“</w:t>
      </w:r>
      <w:r>
        <w:rPr>
          <w:rFonts w:ascii="Arial" w:eastAsiaTheme="majorEastAsia" w:hAnsi="Arial" w:cs="Arial"/>
          <w:color w:val="333333"/>
        </w:rPr>
        <w:t>《基金合同》</w:t>
      </w:r>
      <w:r>
        <w:rPr>
          <w:rFonts w:ascii="Arial" w:eastAsiaTheme="majorEastAsia" w:hAnsi="Arial" w:cs="Arial"/>
          <w:color w:val="333333"/>
        </w:rPr>
        <w:t>”</w:t>
      </w:r>
      <w:r>
        <w:rPr>
          <w:rFonts w:ascii="Arial" w:eastAsiaTheme="majorEastAsia" w:hAnsi="Arial" w:cs="Arial"/>
          <w:color w:val="333333"/>
        </w:rPr>
        <w:t>）的有关规定，弘毅远方高端制造混合型发起式证券投资基金（以下简称</w:t>
      </w:r>
      <w:r>
        <w:rPr>
          <w:rFonts w:ascii="Arial" w:eastAsiaTheme="majorEastAsia" w:hAnsi="Arial" w:cs="Arial"/>
          <w:color w:val="333333"/>
        </w:rPr>
        <w:t>“</w:t>
      </w:r>
      <w:r>
        <w:rPr>
          <w:rFonts w:ascii="Arial" w:eastAsiaTheme="majorEastAsia" w:hAnsi="Arial" w:cs="Arial"/>
          <w:color w:val="333333"/>
        </w:rPr>
        <w:t>本基金</w:t>
      </w:r>
      <w:r>
        <w:rPr>
          <w:rFonts w:ascii="Arial" w:eastAsiaTheme="majorEastAsia" w:hAnsi="Arial" w:cs="Arial"/>
          <w:color w:val="333333"/>
        </w:rPr>
        <w:t>”</w:t>
      </w:r>
      <w:r>
        <w:rPr>
          <w:rFonts w:ascii="Arial" w:eastAsiaTheme="majorEastAsia" w:hAnsi="Arial" w:cs="Arial"/>
          <w:color w:val="333333"/>
        </w:rPr>
        <w:t>）</w:t>
      </w:r>
      <w:r>
        <w:rPr>
          <w:rFonts w:ascii="Arial" w:eastAsiaTheme="majorEastAsia" w:hAnsi="Arial" w:cs="Arial" w:hint="eastAsia"/>
          <w:color w:val="333333"/>
        </w:rPr>
        <w:t>的《基金合同》</w:t>
      </w:r>
      <w:r>
        <w:rPr>
          <w:rFonts w:ascii="Arial" w:eastAsiaTheme="majorEastAsia" w:hAnsi="Arial" w:cs="Arial"/>
          <w:color w:val="333333"/>
        </w:rPr>
        <w:t>生效三年后（指《基金合同》生效之日起三年后的对应日，该对应日如为非工作日，则自动顺延至下一个工作日），若基金资产净值低于</w:t>
      </w:r>
      <w:r>
        <w:rPr>
          <w:rFonts w:ascii="Arial" w:eastAsiaTheme="majorEastAsia" w:hAnsi="Arial" w:cs="Arial" w:hint="eastAsia"/>
          <w:color w:val="333333"/>
        </w:rPr>
        <w:t>2</w:t>
      </w:r>
      <w:r>
        <w:rPr>
          <w:rFonts w:ascii="Arial" w:eastAsiaTheme="majorEastAsia" w:hAnsi="Arial" w:cs="Arial"/>
          <w:color w:val="333333"/>
        </w:rPr>
        <w:t>亿元的，</w:t>
      </w:r>
      <w:r>
        <w:rPr>
          <w:rFonts w:ascii="Arial" w:eastAsiaTheme="majorEastAsia" w:hAnsi="Arial" w:cs="Arial" w:hint="eastAsia"/>
          <w:color w:val="333333"/>
        </w:rPr>
        <w:t>《</w:t>
      </w:r>
      <w:r>
        <w:rPr>
          <w:rFonts w:ascii="Arial" w:eastAsiaTheme="majorEastAsia" w:hAnsi="Arial" w:cs="Arial"/>
          <w:color w:val="333333"/>
        </w:rPr>
        <w:t>基金合同</w:t>
      </w:r>
      <w:r>
        <w:rPr>
          <w:rFonts w:ascii="Arial" w:eastAsiaTheme="majorEastAsia" w:hAnsi="Arial" w:cs="Arial" w:hint="eastAsia"/>
          <w:color w:val="333333"/>
        </w:rPr>
        <w:t>》</w:t>
      </w:r>
      <w:r>
        <w:rPr>
          <w:rFonts w:ascii="Arial" w:eastAsiaTheme="majorEastAsia" w:hAnsi="Arial" w:cs="Arial"/>
          <w:color w:val="333333"/>
        </w:rPr>
        <w:t>自动终止，且不得通过召开基金份额持有人大会延续基金合同期限。</w:t>
      </w:r>
    </w:p>
    <w:p w:rsidR="00F95E17" w:rsidRDefault="004244B1">
      <w:pPr>
        <w:pStyle w:val="a3"/>
        <w:shd w:val="clear" w:color="auto" w:fill="FFFFFF"/>
        <w:spacing w:before="240" w:beforeAutospacing="0" w:after="0" w:afterAutospacing="0" w:line="420" w:lineRule="atLeast"/>
        <w:ind w:firstLine="420"/>
        <w:jc w:val="both"/>
        <w:rPr>
          <w:rFonts w:ascii="Arial" w:eastAsiaTheme="majorEastAsia" w:hAnsi="Arial" w:cs="Arial"/>
          <w:color w:val="333333"/>
        </w:rPr>
      </w:pPr>
      <w:r>
        <w:rPr>
          <w:rFonts w:ascii="Arial" w:eastAsiaTheme="majorEastAsia" w:hAnsi="Arial" w:cs="Arial"/>
          <w:color w:val="333333"/>
        </w:rPr>
        <w:t>截至</w:t>
      </w: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Pr>
          <w:rFonts w:ascii="Arial" w:eastAsiaTheme="majorEastAsia" w:hAnsi="Arial" w:cs="Arial" w:hint="eastAsia"/>
          <w:color w:val="333333"/>
        </w:rPr>
        <w:t>3</w:t>
      </w:r>
      <w:r>
        <w:rPr>
          <w:rFonts w:ascii="Arial" w:eastAsiaTheme="majorEastAsia" w:hAnsi="Arial" w:cs="Arial"/>
          <w:color w:val="333333"/>
        </w:rPr>
        <w:t>日</w:t>
      </w:r>
      <w:r>
        <w:rPr>
          <w:rFonts w:ascii="Arial" w:eastAsiaTheme="majorEastAsia" w:hAnsi="Arial" w:cs="Arial" w:hint="eastAsia"/>
          <w:color w:val="333333"/>
        </w:rPr>
        <w:t>（即</w:t>
      </w:r>
      <w:r w:rsidR="00323E5F">
        <w:rPr>
          <w:rFonts w:ascii="Arial" w:eastAsiaTheme="majorEastAsia" w:hAnsi="Arial" w:cs="Arial" w:hint="eastAsia"/>
          <w:color w:val="333333"/>
        </w:rPr>
        <w:t>《</w:t>
      </w:r>
      <w:r>
        <w:rPr>
          <w:rFonts w:ascii="Arial" w:eastAsiaTheme="majorEastAsia" w:hAnsi="Arial" w:cs="Arial" w:hint="eastAsia"/>
          <w:color w:val="333333"/>
        </w:rPr>
        <w:t>基金合同</w:t>
      </w:r>
      <w:r w:rsidR="00323E5F">
        <w:rPr>
          <w:rFonts w:ascii="Arial" w:eastAsiaTheme="majorEastAsia" w:hAnsi="Arial" w:cs="Arial" w:hint="eastAsia"/>
          <w:color w:val="333333"/>
        </w:rPr>
        <w:t>》</w:t>
      </w:r>
      <w:r>
        <w:rPr>
          <w:rFonts w:ascii="Arial" w:eastAsiaTheme="majorEastAsia" w:hAnsi="Arial" w:cs="Arial" w:hint="eastAsia"/>
          <w:color w:val="333333"/>
        </w:rPr>
        <w:t>生效之日三年的对应日）</w:t>
      </w:r>
      <w:r>
        <w:rPr>
          <w:rFonts w:ascii="Arial" w:eastAsiaTheme="majorEastAsia" w:hAnsi="Arial" w:cs="Arial"/>
          <w:color w:val="333333"/>
        </w:rPr>
        <w:t>，本基金基金资产净值低于</w:t>
      </w:r>
      <w:r>
        <w:rPr>
          <w:rFonts w:ascii="Arial" w:eastAsiaTheme="majorEastAsia" w:hAnsi="Arial" w:cs="Arial" w:hint="eastAsia"/>
          <w:color w:val="333333"/>
        </w:rPr>
        <w:t>2</w:t>
      </w:r>
      <w:r>
        <w:rPr>
          <w:rFonts w:ascii="Arial" w:eastAsiaTheme="majorEastAsia" w:hAnsi="Arial" w:cs="Arial"/>
          <w:color w:val="333333"/>
        </w:rPr>
        <w:t>亿元。根据</w:t>
      </w:r>
      <w:r>
        <w:rPr>
          <w:rFonts w:ascii="Arial" w:eastAsiaTheme="majorEastAsia" w:hAnsi="Arial" w:cs="Arial" w:hint="eastAsia"/>
          <w:color w:val="333333"/>
        </w:rPr>
        <w:t>《</w:t>
      </w:r>
      <w:r>
        <w:rPr>
          <w:rFonts w:ascii="Arial" w:eastAsiaTheme="majorEastAsia" w:hAnsi="Arial" w:cs="Arial"/>
          <w:color w:val="333333"/>
        </w:rPr>
        <w:t>基金合同</w:t>
      </w:r>
      <w:r>
        <w:rPr>
          <w:rFonts w:ascii="Arial" w:eastAsiaTheme="majorEastAsia" w:hAnsi="Arial" w:cs="Arial" w:hint="eastAsia"/>
          <w:color w:val="333333"/>
        </w:rPr>
        <w:t>》</w:t>
      </w:r>
      <w:r>
        <w:rPr>
          <w:rFonts w:ascii="Arial" w:eastAsiaTheme="majorEastAsia" w:hAnsi="Arial" w:cs="Arial"/>
          <w:color w:val="333333"/>
        </w:rPr>
        <w:t>约定，基金管理人依法履行基金财产清算程序</w:t>
      </w:r>
      <w:r>
        <w:rPr>
          <w:rFonts w:ascii="Arial" w:eastAsiaTheme="majorEastAsia" w:hAnsi="Arial" w:cs="Arial" w:hint="eastAsia"/>
          <w:color w:val="333333"/>
        </w:rPr>
        <w:t>并</w:t>
      </w:r>
      <w:r>
        <w:rPr>
          <w:rFonts w:ascii="Arial" w:eastAsiaTheme="majorEastAsia" w:hAnsi="Arial" w:cs="Arial"/>
          <w:color w:val="333333"/>
        </w:rPr>
        <w:t>终止</w:t>
      </w:r>
      <w:r>
        <w:rPr>
          <w:rFonts w:ascii="Arial" w:eastAsiaTheme="majorEastAsia" w:hAnsi="Arial" w:cs="Arial" w:hint="eastAsia"/>
          <w:color w:val="333333"/>
        </w:rPr>
        <w:t>《</w:t>
      </w:r>
      <w:r>
        <w:rPr>
          <w:rFonts w:ascii="Arial" w:eastAsiaTheme="majorEastAsia" w:hAnsi="Arial" w:cs="Arial"/>
          <w:color w:val="333333"/>
        </w:rPr>
        <w:t>基金合同</w:t>
      </w:r>
      <w:r>
        <w:rPr>
          <w:rFonts w:ascii="Arial" w:eastAsiaTheme="majorEastAsia" w:hAnsi="Arial" w:cs="Arial" w:hint="eastAsia"/>
          <w:color w:val="333333"/>
        </w:rPr>
        <w:t>》</w:t>
      </w:r>
      <w:r>
        <w:rPr>
          <w:rFonts w:ascii="Arial" w:eastAsiaTheme="majorEastAsia" w:hAnsi="Arial" w:cs="Arial"/>
          <w:color w:val="333333"/>
        </w:rPr>
        <w:t>，且无需召开基金份额持有人大会。</w:t>
      </w:r>
    </w:p>
    <w:p w:rsidR="00F95E17" w:rsidRDefault="004244B1">
      <w:pPr>
        <w:pStyle w:val="a3"/>
        <w:shd w:val="clear" w:color="auto" w:fill="FFFFFF"/>
        <w:spacing w:before="240" w:beforeAutospacing="0" w:after="0" w:afterAutospacing="0" w:line="420" w:lineRule="atLeast"/>
        <w:ind w:firstLine="420"/>
        <w:jc w:val="both"/>
        <w:rPr>
          <w:rFonts w:asciiTheme="majorEastAsia" w:eastAsiaTheme="majorEastAsia" w:hAnsiTheme="majorEastAsia"/>
          <w:color w:val="231F20"/>
          <w:shd w:val="clear" w:color="auto" w:fill="FFFFFF"/>
        </w:rPr>
      </w:pPr>
      <w:r>
        <w:rPr>
          <w:rFonts w:ascii="Arial" w:eastAsiaTheme="majorEastAsia" w:hAnsi="Arial" w:cs="Arial"/>
          <w:color w:val="333333"/>
        </w:rPr>
        <w:t>本基金已于</w:t>
      </w: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Pr>
          <w:rFonts w:ascii="Arial" w:eastAsiaTheme="majorEastAsia" w:hAnsi="Arial" w:cs="Arial" w:hint="eastAsia"/>
          <w:color w:val="333333"/>
        </w:rPr>
        <w:t>4</w:t>
      </w:r>
      <w:r>
        <w:rPr>
          <w:rFonts w:ascii="Arial" w:eastAsiaTheme="majorEastAsia" w:hAnsi="Arial" w:cs="Arial"/>
          <w:color w:val="333333"/>
        </w:rPr>
        <w:t>日进入清算程序，由基金管理人弘毅远方基金管理有限公司、基金托管人</w:t>
      </w:r>
      <w:r>
        <w:rPr>
          <w:rFonts w:ascii="Arial" w:eastAsiaTheme="majorEastAsia" w:hAnsi="Arial" w:cs="Arial" w:hint="eastAsia"/>
          <w:color w:val="333333"/>
        </w:rPr>
        <w:t>广发证券</w:t>
      </w:r>
      <w:r>
        <w:rPr>
          <w:rFonts w:ascii="Arial" w:eastAsiaTheme="majorEastAsia" w:hAnsi="Arial" w:cs="Arial"/>
          <w:color w:val="333333"/>
        </w:rPr>
        <w:t>股份有限公司、普华永道中天会计师事务所（特殊普通合伙）、上海市通力律师事务所于</w:t>
      </w: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Pr>
          <w:rFonts w:ascii="Arial" w:eastAsiaTheme="majorEastAsia" w:hAnsi="Arial" w:cs="Arial" w:hint="eastAsia"/>
          <w:color w:val="333333"/>
        </w:rPr>
        <w:t>4</w:t>
      </w:r>
      <w:r>
        <w:rPr>
          <w:rFonts w:ascii="Arial" w:eastAsiaTheme="majorEastAsia" w:hAnsi="Arial" w:cs="Arial"/>
          <w:color w:val="333333"/>
        </w:rPr>
        <w:t>日成立基金财产清算小组履行基金财产清算程序。清算期间自</w:t>
      </w: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Pr>
          <w:rFonts w:ascii="Arial" w:eastAsiaTheme="majorEastAsia" w:hAnsi="Arial" w:cs="Arial" w:hint="eastAsia"/>
          <w:color w:val="333333"/>
        </w:rPr>
        <w:t>4</w:t>
      </w:r>
      <w:r>
        <w:rPr>
          <w:rFonts w:ascii="Arial" w:eastAsiaTheme="majorEastAsia" w:hAnsi="Arial" w:cs="Arial"/>
          <w:color w:val="333333"/>
        </w:rPr>
        <w:t>日至</w:t>
      </w: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sidR="009E6F45">
        <w:rPr>
          <w:rFonts w:ascii="Arial" w:eastAsiaTheme="majorEastAsia" w:hAnsi="Arial" w:cs="Arial" w:hint="eastAsia"/>
          <w:color w:val="333333"/>
        </w:rPr>
        <w:t>18</w:t>
      </w:r>
      <w:r>
        <w:rPr>
          <w:rFonts w:ascii="Arial" w:eastAsiaTheme="majorEastAsia" w:hAnsi="Arial" w:cs="Arial"/>
          <w:color w:val="333333"/>
        </w:rPr>
        <w:t>日止，并由普华永道中天会计师事务所（特殊普通合伙）对清算报告进行审计，上海市通力律师事务所对清算报告出具法律意见</w:t>
      </w:r>
      <w:r>
        <w:rPr>
          <w:rFonts w:ascii="Arial" w:eastAsiaTheme="majorEastAsia" w:hAnsi="Arial" w:cs="Arial" w:hint="eastAsia"/>
          <w:color w:val="333333"/>
        </w:rPr>
        <w:t>。本基金清算报告已</w:t>
      </w:r>
      <w:r>
        <w:rPr>
          <w:rFonts w:ascii="Arial" w:eastAsiaTheme="majorEastAsia" w:hAnsi="Arial" w:cs="Arial"/>
          <w:color w:val="333333"/>
        </w:rPr>
        <w:t>于</w:t>
      </w:r>
      <w:r>
        <w:rPr>
          <w:rFonts w:ascii="Arial" w:eastAsiaTheme="majorEastAsia" w:hAnsi="Arial" w:cs="Arial"/>
          <w:color w:val="333333"/>
        </w:rPr>
        <w:t>2024</w:t>
      </w:r>
      <w:r>
        <w:rPr>
          <w:rFonts w:ascii="Arial" w:eastAsiaTheme="majorEastAsia" w:hAnsi="Arial" w:cs="Arial" w:hint="eastAsia"/>
          <w:color w:val="333333"/>
        </w:rPr>
        <w:t>年</w:t>
      </w:r>
      <w:r>
        <w:rPr>
          <w:rFonts w:ascii="Arial" w:eastAsiaTheme="majorEastAsia" w:hAnsi="Arial" w:cs="Arial" w:hint="eastAsia"/>
          <w:color w:val="333333"/>
        </w:rPr>
        <w:t>6</w:t>
      </w:r>
      <w:r>
        <w:rPr>
          <w:rFonts w:ascii="Arial" w:eastAsiaTheme="majorEastAsia" w:hAnsi="Arial" w:cs="Arial" w:hint="eastAsia"/>
          <w:color w:val="333333"/>
        </w:rPr>
        <w:t>月</w:t>
      </w:r>
      <w:r w:rsidR="009E6F45">
        <w:rPr>
          <w:rFonts w:ascii="Arial" w:eastAsiaTheme="majorEastAsia" w:hAnsi="Arial" w:cs="Arial" w:hint="eastAsia"/>
          <w:color w:val="333333"/>
        </w:rPr>
        <w:t>20</w:t>
      </w:r>
      <w:r>
        <w:rPr>
          <w:rFonts w:ascii="Arial" w:eastAsiaTheme="majorEastAsia" w:hAnsi="Arial" w:cs="Arial" w:hint="eastAsia"/>
          <w:color w:val="333333"/>
        </w:rPr>
        <w:t>日在</w:t>
      </w:r>
      <w:r>
        <w:rPr>
          <w:rFonts w:asciiTheme="majorEastAsia" w:eastAsiaTheme="majorEastAsia" w:hAnsiTheme="majorEastAsia" w:hint="eastAsia"/>
          <w:color w:val="231F20"/>
          <w:shd w:val="clear" w:color="auto" w:fill="FFFFFF"/>
        </w:rPr>
        <w:t>本公司网站（</w:t>
      </w:r>
      <w:r>
        <w:rPr>
          <w:rFonts w:ascii="Arial" w:eastAsiaTheme="majorEastAsia" w:hAnsi="Arial" w:cs="Arial"/>
          <w:color w:val="231F20"/>
          <w:shd w:val="clear" w:color="auto" w:fill="FFFFFF"/>
        </w:rPr>
        <w:t>https://www.honyfunds.com</w:t>
      </w:r>
      <w:r>
        <w:rPr>
          <w:rFonts w:asciiTheme="majorEastAsia" w:eastAsiaTheme="majorEastAsia" w:hAnsiTheme="majorEastAsia" w:hint="eastAsia"/>
          <w:color w:val="231F20"/>
          <w:shd w:val="clear" w:color="auto" w:fill="FFFFFF"/>
        </w:rPr>
        <w:t>）和中国证监会基金电子披露网站（</w:t>
      </w:r>
      <w:r>
        <w:rPr>
          <w:rFonts w:ascii="Arial" w:eastAsiaTheme="majorEastAsia" w:hAnsi="Arial" w:cs="Arial"/>
          <w:color w:val="231F20"/>
          <w:shd w:val="clear" w:color="auto" w:fill="FFFFFF"/>
        </w:rPr>
        <w:t>http://eid.csrc.gov.cn/fund</w:t>
      </w:r>
      <w:r>
        <w:rPr>
          <w:rFonts w:asciiTheme="majorEastAsia" w:eastAsiaTheme="majorEastAsia" w:hAnsiTheme="majorEastAsia" w:hint="eastAsia"/>
          <w:color w:val="231F20"/>
          <w:shd w:val="clear" w:color="auto" w:fill="FFFFFF"/>
        </w:rPr>
        <w:t>）披露。</w:t>
      </w:r>
    </w:p>
    <w:p w:rsidR="00F95E17" w:rsidRDefault="004244B1">
      <w:pPr>
        <w:pStyle w:val="a3"/>
        <w:shd w:val="clear" w:color="auto" w:fill="FFFFFF"/>
        <w:spacing w:before="240" w:beforeAutospacing="0" w:after="0" w:afterAutospacing="0" w:line="420" w:lineRule="atLeast"/>
        <w:ind w:firstLine="420"/>
        <w:jc w:val="both"/>
        <w:rPr>
          <w:rFonts w:ascii="Arial" w:eastAsiaTheme="majorEastAsia" w:hAnsi="Arial" w:cs="Arial"/>
          <w:color w:val="333333"/>
        </w:rPr>
      </w:pPr>
      <w:r>
        <w:rPr>
          <w:rFonts w:ascii="Arial" w:eastAsiaTheme="majorEastAsia" w:hAnsi="Arial" w:cs="Arial" w:hint="eastAsia"/>
          <w:color w:val="333333"/>
        </w:rPr>
        <w:t>根据法律法规、本基金《基金合同》及</w:t>
      </w:r>
      <w:r w:rsidRPr="00B05FD1">
        <w:rPr>
          <w:rFonts w:ascii="Arial" w:eastAsiaTheme="majorEastAsia" w:hAnsi="Arial" w:cs="Arial" w:hint="eastAsia"/>
          <w:color w:val="333333"/>
        </w:rPr>
        <w:t>清算报告的相关规定，本基金应分配剩余财产共计人民币</w:t>
      </w:r>
      <w:r w:rsidR="009C0ECD" w:rsidRPr="00B05FD1">
        <w:rPr>
          <w:rFonts w:ascii="Arial" w:hAnsi="Arial" w:cs="Arial"/>
        </w:rPr>
        <w:t>9,075,561.06</w:t>
      </w:r>
      <w:r w:rsidRPr="00B05FD1">
        <w:rPr>
          <w:rFonts w:ascii="Arial" w:eastAsiaTheme="majorEastAsia" w:hAnsi="Arial" w:cs="Arial" w:hint="eastAsia"/>
          <w:color w:val="333333"/>
        </w:rPr>
        <w:t>元，其中</w:t>
      </w:r>
      <w:r w:rsidRPr="00B05FD1">
        <w:rPr>
          <w:rFonts w:ascii="Arial" w:eastAsiaTheme="majorEastAsia" w:hAnsi="Arial" w:cs="Arial" w:hint="eastAsia"/>
          <w:color w:val="333333"/>
        </w:rPr>
        <w:t xml:space="preserve"> A </w:t>
      </w:r>
      <w:r w:rsidRPr="00B05FD1">
        <w:rPr>
          <w:rFonts w:ascii="Arial" w:eastAsiaTheme="majorEastAsia" w:hAnsi="Arial" w:cs="Arial" w:hint="eastAsia"/>
          <w:color w:val="333333"/>
        </w:rPr>
        <w:t>类基金份额应分配剩余财产为人民币</w:t>
      </w:r>
      <w:r w:rsidR="009C0ECD" w:rsidRPr="00B05FD1">
        <w:rPr>
          <w:rFonts w:ascii="Arial" w:hAnsi="Arial" w:cs="Arial"/>
        </w:rPr>
        <w:t>6,338,658.50</w:t>
      </w:r>
      <w:r w:rsidRPr="00B05FD1">
        <w:rPr>
          <w:rFonts w:ascii="Arial" w:eastAsiaTheme="majorEastAsia" w:hAnsi="Arial" w:cs="Arial" w:hint="eastAsia"/>
          <w:color w:val="333333"/>
        </w:rPr>
        <w:t>元，</w:t>
      </w:r>
      <w:r w:rsidRPr="00B05FD1">
        <w:rPr>
          <w:rFonts w:ascii="Arial" w:eastAsiaTheme="majorEastAsia" w:hAnsi="Arial" w:cs="Arial" w:hint="eastAsia"/>
          <w:color w:val="333333"/>
        </w:rPr>
        <w:t xml:space="preserve">C </w:t>
      </w:r>
      <w:r w:rsidRPr="00B05FD1">
        <w:rPr>
          <w:rFonts w:ascii="Arial" w:eastAsiaTheme="majorEastAsia" w:hAnsi="Arial" w:cs="Arial" w:hint="eastAsia"/>
          <w:color w:val="333333"/>
        </w:rPr>
        <w:t>类基金份额应分配剩余财产为人民币</w:t>
      </w:r>
      <w:r w:rsidR="009C0ECD" w:rsidRPr="00B05FD1">
        <w:rPr>
          <w:rFonts w:ascii="Arial" w:hAnsi="Arial" w:cs="Arial"/>
        </w:rPr>
        <w:t>2,736,902.56</w:t>
      </w:r>
      <w:r w:rsidRPr="00B05FD1">
        <w:rPr>
          <w:rFonts w:ascii="Arial" w:eastAsiaTheme="majorEastAsia" w:hAnsi="Arial" w:cs="Arial" w:hint="eastAsia"/>
          <w:color w:val="333333"/>
        </w:rPr>
        <w:t>元，将分别按本基金进入清算期的各类基金份额持有人持有的基金份额比例以现金方式进行分配，分配过程中产生的尾差亦将分配给基金份额持有人，上述资金将于</w:t>
      </w:r>
      <w:r w:rsidRPr="00B05FD1">
        <w:rPr>
          <w:rFonts w:ascii="Arial" w:eastAsiaTheme="majorEastAsia" w:hAnsi="Arial" w:cs="Arial" w:hint="eastAsia"/>
          <w:color w:val="333333"/>
        </w:rPr>
        <w:t>2024</w:t>
      </w:r>
      <w:r w:rsidRPr="00B05FD1">
        <w:rPr>
          <w:rFonts w:ascii="Arial" w:eastAsiaTheme="majorEastAsia" w:hAnsi="Arial" w:cs="Arial" w:hint="eastAsia"/>
          <w:color w:val="333333"/>
        </w:rPr>
        <w:t>年</w:t>
      </w:r>
      <w:r w:rsidRPr="00B05FD1">
        <w:rPr>
          <w:rFonts w:ascii="Arial" w:eastAsiaTheme="majorEastAsia" w:hAnsi="Arial" w:cs="Arial" w:hint="eastAsia"/>
          <w:color w:val="333333"/>
        </w:rPr>
        <w:t>6</w:t>
      </w:r>
      <w:r w:rsidRPr="00B05FD1">
        <w:rPr>
          <w:rFonts w:ascii="Arial" w:eastAsiaTheme="majorEastAsia" w:hAnsi="Arial" w:cs="Arial" w:hint="eastAsia"/>
          <w:color w:val="333333"/>
        </w:rPr>
        <w:t>月</w:t>
      </w:r>
      <w:r w:rsidR="009C0ECD" w:rsidRPr="00B05FD1">
        <w:rPr>
          <w:rFonts w:ascii="Arial" w:eastAsiaTheme="majorEastAsia" w:hAnsi="Arial" w:cs="Arial" w:hint="eastAsia"/>
          <w:color w:val="333333"/>
        </w:rPr>
        <w:t>24</w:t>
      </w:r>
      <w:r w:rsidRPr="00B05FD1">
        <w:rPr>
          <w:rFonts w:ascii="Arial" w:eastAsiaTheme="majorEastAsia" w:hAnsi="Arial" w:cs="Arial" w:hint="eastAsia"/>
          <w:color w:val="333333"/>
        </w:rPr>
        <w:t>日自本基金托管账户划出。</w:t>
      </w:r>
    </w:p>
    <w:p w:rsidR="00F95E17" w:rsidRDefault="004244B1">
      <w:pPr>
        <w:pStyle w:val="a3"/>
        <w:shd w:val="clear" w:color="auto" w:fill="FFFFFF"/>
        <w:spacing w:before="240" w:beforeAutospacing="0" w:after="0" w:afterAutospacing="0" w:line="420" w:lineRule="atLeast"/>
        <w:ind w:firstLine="420"/>
        <w:jc w:val="both"/>
        <w:rPr>
          <w:rFonts w:ascii="Arial" w:eastAsiaTheme="majorEastAsia" w:hAnsi="Arial" w:cs="Arial"/>
          <w:color w:val="333333"/>
        </w:rPr>
      </w:pPr>
      <w:r>
        <w:rPr>
          <w:rFonts w:ascii="Arial" w:eastAsiaTheme="majorEastAsia" w:hAnsi="Arial" w:cs="Arial"/>
          <w:color w:val="333333"/>
        </w:rPr>
        <w:lastRenderedPageBreak/>
        <w:t>投资人可拨打本基金管理人的客户服务电话</w:t>
      </w:r>
      <w:r>
        <w:rPr>
          <w:rFonts w:ascii="Arial" w:eastAsiaTheme="majorEastAsia" w:hAnsi="Arial" w:cs="Arial"/>
          <w:color w:val="333333"/>
        </w:rPr>
        <w:t>400-920-8800</w:t>
      </w:r>
      <w:r>
        <w:rPr>
          <w:rFonts w:ascii="Arial" w:eastAsiaTheme="majorEastAsia" w:hAnsi="Arial" w:cs="Arial"/>
          <w:color w:val="333333"/>
        </w:rPr>
        <w:t>（全国免长途话费）了解相关事宜。</w:t>
      </w:r>
    </w:p>
    <w:p w:rsidR="00F95E17" w:rsidRDefault="00F95E17">
      <w:pPr>
        <w:pStyle w:val="a3"/>
        <w:shd w:val="clear" w:color="auto" w:fill="FFFFFF"/>
        <w:spacing w:before="240" w:beforeAutospacing="0" w:after="0" w:afterAutospacing="0" w:line="420" w:lineRule="atLeast"/>
        <w:jc w:val="both"/>
        <w:rPr>
          <w:rFonts w:ascii="Arial" w:eastAsiaTheme="majorEastAsia" w:hAnsi="Arial" w:cs="Arial"/>
          <w:color w:val="333333"/>
        </w:rPr>
      </w:pPr>
    </w:p>
    <w:p w:rsidR="00F95E17" w:rsidRDefault="004244B1">
      <w:pPr>
        <w:pStyle w:val="a3"/>
        <w:shd w:val="clear" w:color="auto" w:fill="FFFFFF"/>
        <w:spacing w:before="240" w:beforeAutospacing="0" w:after="0" w:afterAutospacing="0" w:line="420" w:lineRule="atLeast"/>
        <w:ind w:firstLine="420"/>
        <w:jc w:val="both"/>
        <w:rPr>
          <w:rFonts w:ascii="Arial" w:eastAsiaTheme="majorEastAsia" w:hAnsi="Arial" w:cs="Arial"/>
          <w:color w:val="333333"/>
        </w:rPr>
      </w:pPr>
      <w:r>
        <w:rPr>
          <w:rFonts w:ascii="Arial" w:eastAsiaTheme="majorEastAsia" w:hAnsi="Arial" w:cs="Arial"/>
          <w:color w:val="333333"/>
        </w:rPr>
        <w:t>特此公告。</w:t>
      </w:r>
    </w:p>
    <w:p w:rsidR="00F95E17" w:rsidRDefault="00F95E17">
      <w:pPr>
        <w:pStyle w:val="a3"/>
        <w:shd w:val="clear" w:color="auto" w:fill="FFFFFF"/>
        <w:spacing w:before="240" w:beforeAutospacing="0" w:after="0" w:afterAutospacing="0" w:line="420" w:lineRule="atLeast"/>
        <w:jc w:val="both"/>
        <w:rPr>
          <w:rFonts w:ascii="Arial" w:eastAsiaTheme="majorEastAsia" w:hAnsi="Arial" w:cs="Arial"/>
          <w:color w:val="333333"/>
        </w:rPr>
      </w:pPr>
    </w:p>
    <w:p w:rsidR="00F95E17" w:rsidRDefault="004244B1">
      <w:pPr>
        <w:pStyle w:val="a3"/>
        <w:shd w:val="clear" w:color="auto" w:fill="FFFFFF"/>
        <w:spacing w:before="240" w:beforeAutospacing="0" w:after="0" w:afterAutospacing="0" w:line="420" w:lineRule="atLeast"/>
        <w:jc w:val="right"/>
        <w:rPr>
          <w:rFonts w:ascii="Arial" w:eastAsiaTheme="majorEastAsia" w:hAnsi="Arial" w:cs="Arial"/>
          <w:color w:val="333333"/>
        </w:rPr>
      </w:pPr>
      <w:r>
        <w:rPr>
          <w:rFonts w:ascii="Arial" w:eastAsiaTheme="majorEastAsia" w:hAnsi="Arial" w:cs="Arial"/>
          <w:color w:val="333333"/>
        </w:rPr>
        <w:t>弘毅远方基金管理有限公司</w:t>
      </w:r>
    </w:p>
    <w:p w:rsidR="00F95E17" w:rsidRDefault="004244B1">
      <w:pPr>
        <w:pStyle w:val="a3"/>
        <w:shd w:val="clear" w:color="auto" w:fill="FFFFFF"/>
        <w:spacing w:before="240" w:beforeAutospacing="0" w:after="0" w:afterAutospacing="0" w:line="420" w:lineRule="atLeast"/>
        <w:jc w:val="right"/>
        <w:rPr>
          <w:rFonts w:ascii="Arial" w:eastAsiaTheme="majorEastAsia" w:hAnsi="Arial" w:cs="Arial"/>
          <w:color w:val="333333"/>
        </w:rPr>
      </w:pPr>
      <w:r>
        <w:rPr>
          <w:rFonts w:ascii="Arial" w:eastAsiaTheme="majorEastAsia" w:hAnsi="Arial" w:cs="Arial"/>
          <w:color w:val="333333"/>
        </w:rPr>
        <w:t>2024</w:t>
      </w:r>
      <w:r>
        <w:rPr>
          <w:rFonts w:ascii="Arial" w:eastAsiaTheme="majorEastAsia" w:hAnsi="Arial" w:cs="Arial"/>
          <w:color w:val="333333"/>
        </w:rPr>
        <w:t>年</w:t>
      </w:r>
      <w:r>
        <w:rPr>
          <w:rFonts w:ascii="Arial" w:eastAsiaTheme="majorEastAsia" w:hAnsi="Arial" w:cs="Arial" w:hint="eastAsia"/>
          <w:color w:val="333333"/>
        </w:rPr>
        <w:t>6</w:t>
      </w:r>
      <w:r>
        <w:rPr>
          <w:rFonts w:ascii="Arial" w:eastAsiaTheme="majorEastAsia" w:hAnsi="Arial" w:cs="Arial"/>
          <w:color w:val="333333"/>
        </w:rPr>
        <w:t>月</w:t>
      </w:r>
      <w:r w:rsidR="009E6F45">
        <w:rPr>
          <w:rFonts w:ascii="Arial" w:eastAsiaTheme="majorEastAsia" w:hAnsi="Arial" w:cs="Arial" w:hint="eastAsia"/>
          <w:color w:val="333333"/>
        </w:rPr>
        <w:t>24</w:t>
      </w:r>
      <w:r>
        <w:rPr>
          <w:rFonts w:ascii="Arial" w:eastAsiaTheme="majorEastAsia" w:hAnsi="Arial" w:cs="Arial"/>
          <w:color w:val="333333"/>
        </w:rPr>
        <w:t>日</w:t>
      </w:r>
    </w:p>
    <w:sectPr w:rsidR="00F95E17" w:rsidSect="00382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325" w:rsidRDefault="008B7325">
      <w:r>
        <w:separator/>
      </w:r>
    </w:p>
  </w:endnote>
  <w:endnote w:type="continuationSeparator" w:id="0">
    <w:p w:rsidR="008B7325" w:rsidRDefault="008B7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325" w:rsidRDefault="008B7325">
      <w:r>
        <w:separator/>
      </w:r>
    </w:p>
  </w:footnote>
  <w:footnote w:type="continuationSeparator" w:id="0">
    <w:p w:rsidR="008B7325" w:rsidRDefault="008B7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5E17"/>
    <w:rsid w:val="000F7E20"/>
    <w:rsid w:val="001B2B55"/>
    <w:rsid w:val="0021032E"/>
    <w:rsid w:val="00323E5F"/>
    <w:rsid w:val="00382BA2"/>
    <w:rsid w:val="0039447E"/>
    <w:rsid w:val="004244B1"/>
    <w:rsid w:val="004608C2"/>
    <w:rsid w:val="00533102"/>
    <w:rsid w:val="00610B6F"/>
    <w:rsid w:val="00654EEF"/>
    <w:rsid w:val="007831ED"/>
    <w:rsid w:val="008710F4"/>
    <w:rsid w:val="008B7325"/>
    <w:rsid w:val="00935285"/>
    <w:rsid w:val="009C0ECD"/>
    <w:rsid w:val="009E6F45"/>
    <w:rsid w:val="00B05FD1"/>
    <w:rsid w:val="00B65AAE"/>
    <w:rsid w:val="00C97A77"/>
    <w:rsid w:val="00CB04E6"/>
    <w:rsid w:val="00F95E17"/>
    <w:rsid w:val="00FC2FE3"/>
    <w:rsid w:val="00FF5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2BA2"/>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382BA2"/>
    <w:rPr>
      <w:sz w:val="21"/>
      <w:szCs w:val="21"/>
    </w:rPr>
  </w:style>
  <w:style w:type="paragraph" w:styleId="a5">
    <w:name w:val="annotation text"/>
    <w:basedOn w:val="a"/>
    <w:link w:val="Char"/>
    <w:uiPriority w:val="99"/>
    <w:unhideWhenUsed/>
    <w:rsid w:val="00382BA2"/>
    <w:pPr>
      <w:jc w:val="left"/>
    </w:pPr>
  </w:style>
  <w:style w:type="character" w:customStyle="1" w:styleId="Char">
    <w:name w:val="批注文字 Char"/>
    <w:basedOn w:val="a0"/>
    <w:link w:val="a5"/>
    <w:uiPriority w:val="99"/>
    <w:rsid w:val="00382BA2"/>
  </w:style>
  <w:style w:type="paragraph" w:styleId="a6">
    <w:name w:val="annotation subject"/>
    <w:basedOn w:val="a5"/>
    <w:next w:val="a5"/>
    <w:link w:val="Char0"/>
    <w:uiPriority w:val="99"/>
    <w:semiHidden/>
    <w:unhideWhenUsed/>
    <w:rsid w:val="00382BA2"/>
    <w:rPr>
      <w:b/>
      <w:bCs/>
    </w:rPr>
  </w:style>
  <w:style w:type="character" w:customStyle="1" w:styleId="Char0">
    <w:name w:val="批注主题 Char"/>
    <w:basedOn w:val="Char"/>
    <w:link w:val="a6"/>
    <w:uiPriority w:val="99"/>
    <w:semiHidden/>
    <w:rsid w:val="00382BA2"/>
    <w:rPr>
      <w:b/>
      <w:bCs/>
    </w:rPr>
  </w:style>
  <w:style w:type="paragraph" w:styleId="a7">
    <w:name w:val="Revision"/>
    <w:hidden/>
    <w:uiPriority w:val="99"/>
    <w:semiHidden/>
    <w:rsid w:val="00382BA2"/>
  </w:style>
  <w:style w:type="paragraph" w:styleId="a8">
    <w:name w:val="Balloon Text"/>
    <w:basedOn w:val="a"/>
    <w:link w:val="Char1"/>
    <w:uiPriority w:val="99"/>
    <w:semiHidden/>
    <w:unhideWhenUsed/>
    <w:rsid w:val="00382BA2"/>
    <w:rPr>
      <w:sz w:val="18"/>
      <w:szCs w:val="18"/>
    </w:rPr>
  </w:style>
  <w:style w:type="character" w:customStyle="1" w:styleId="Char1">
    <w:name w:val="批注框文本 Char"/>
    <w:basedOn w:val="a0"/>
    <w:link w:val="a8"/>
    <w:uiPriority w:val="99"/>
    <w:semiHidden/>
    <w:rsid w:val="00382BA2"/>
    <w:rPr>
      <w:sz w:val="18"/>
      <w:szCs w:val="18"/>
    </w:rPr>
  </w:style>
  <w:style w:type="character" w:styleId="a9">
    <w:name w:val="Hyperlink"/>
    <w:basedOn w:val="a0"/>
    <w:uiPriority w:val="99"/>
    <w:unhideWhenUsed/>
    <w:rsid w:val="00382BA2"/>
    <w:rPr>
      <w:color w:val="0563C1" w:themeColor="hyperlink"/>
      <w:u w:val="single"/>
    </w:rPr>
  </w:style>
  <w:style w:type="character" w:customStyle="1" w:styleId="UnresolvedMention">
    <w:name w:val="Unresolved Mention"/>
    <w:basedOn w:val="a0"/>
    <w:uiPriority w:val="99"/>
    <w:semiHidden/>
    <w:unhideWhenUsed/>
    <w:rsid w:val="00382BA2"/>
    <w:rPr>
      <w:color w:val="605E5C"/>
      <w:shd w:val="clear" w:color="auto" w:fill="E1DFDD"/>
    </w:rPr>
  </w:style>
  <w:style w:type="paragraph" w:styleId="aa">
    <w:name w:val="header"/>
    <w:basedOn w:val="a"/>
    <w:link w:val="Char2"/>
    <w:uiPriority w:val="99"/>
    <w:unhideWhenUsed/>
    <w:rsid w:val="00382BA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382BA2"/>
    <w:rPr>
      <w:sz w:val="18"/>
      <w:szCs w:val="18"/>
    </w:rPr>
  </w:style>
  <w:style w:type="paragraph" w:styleId="ab">
    <w:name w:val="footer"/>
    <w:basedOn w:val="a"/>
    <w:link w:val="Char3"/>
    <w:uiPriority w:val="99"/>
    <w:unhideWhenUsed/>
    <w:rsid w:val="00382BA2"/>
    <w:pPr>
      <w:tabs>
        <w:tab w:val="center" w:pos="4153"/>
        <w:tab w:val="right" w:pos="8306"/>
      </w:tabs>
      <w:snapToGrid w:val="0"/>
      <w:jc w:val="left"/>
    </w:pPr>
    <w:rPr>
      <w:sz w:val="18"/>
      <w:szCs w:val="18"/>
    </w:rPr>
  </w:style>
  <w:style w:type="character" w:customStyle="1" w:styleId="Char3">
    <w:name w:val="页脚 Char"/>
    <w:basedOn w:val="a0"/>
    <w:link w:val="ab"/>
    <w:uiPriority w:val="99"/>
    <w:rsid w:val="00382BA2"/>
    <w:rPr>
      <w:sz w:val="18"/>
      <w:szCs w:val="18"/>
    </w:rPr>
  </w:style>
</w:styles>
</file>

<file path=word/webSettings.xml><?xml version="1.0" encoding="utf-8"?>
<w:webSettings xmlns:r="http://schemas.openxmlformats.org/officeDocument/2006/relationships" xmlns:w="http://schemas.openxmlformats.org/wordprocessingml/2006/main">
  <w:divs>
    <w:div w:id="1630935652">
      <w:bodyDiv w:val="1"/>
      <w:marLeft w:val="0"/>
      <w:marRight w:val="0"/>
      <w:marTop w:val="0"/>
      <w:marBottom w:val="0"/>
      <w:divBdr>
        <w:top w:val="none" w:sz="0" w:space="0" w:color="auto"/>
        <w:left w:val="none" w:sz="0" w:space="0" w:color="auto"/>
        <w:bottom w:val="none" w:sz="0" w:space="0" w:color="auto"/>
        <w:right w:val="none" w:sz="0" w:space="0" w:color="auto"/>
      </w:divBdr>
    </w:div>
    <w:div w:id="20440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4</DocSecurity>
  <Lines>6</Lines>
  <Paragraphs>1</Paragraphs>
  <ScaleCrop>false</ScaleCrop>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讷泽</dc:creator>
  <cp:keywords/>
  <dc:description/>
  <cp:lastModifiedBy>ZHONGM</cp:lastModifiedBy>
  <cp:revision>2</cp:revision>
  <dcterms:created xsi:type="dcterms:W3CDTF">2024-06-23T16:00:00Z</dcterms:created>
  <dcterms:modified xsi:type="dcterms:W3CDTF">2024-06-23T16:00:00Z</dcterms:modified>
</cp:coreProperties>
</file>