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1F" w:rsidRDefault="0071558C">
      <w:pPr>
        <w:widowControl/>
        <w:spacing w:line="450" w:lineRule="atLeast"/>
        <w:jc w:val="center"/>
        <w:rPr>
          <w:rFonts w:ascii="微软雅黑" w:eastAsia="微软雅黑" w:hAnsi="微软雅黑" w:cs="宋体"/>
          <w:b/>
          <w:bCs/>
          <w:color w:val="D70C19"/>
          <w:kern w:val="0"/>
          <w:sz w:val="24"/>
          <w:szCs w:val="24"/>
        </w:rPr>
      </w:pPr>
      <w:r>
        <w:rPr>
          <w:rFonts w:ascii="微软雅黑" w:eastAsia="微软雅黑" w:hAnsi="微软雅黑" w:cs="宋体" w:hint="eastAsia"/>
          <w:b/>
          <w:bCs/>
          <w:color w:val="D70C19"/>
          <w:kern w:val="0"/>
          <w:sz w:val="24"/>
          <w:szCs w:val="24"/>
        </w:rPr>
        <w:t>方正富邦添利纯债债券型证券投资基金分红公告</w:t>
      </w:r>
    </w:p>
    <w:p w:rsidR="0019121F" w:rsidRDefault="0071558C">
      <w:pPr>
        <w:widowControl/>
        <w:spacing w:line="375" w:lineRule="atLeast"/>
        <w:ind w:firstLineChars="200" w:firstLine="420"/>
        <w:jc w:val="center"/>
        <w:rPr>
          <w:rFonts w:ascii="微软雅黑" w:eastAsia="微软雅黑" w:hAnsi="微软雅黑" w:cs="宋体"/>
          <w:kern w:val="0"/>
          <w:sz w:val="18"/>
          <w:szCs w:val="18"/>
        </w:rPr>
      </w:pPr>
      <w:r>
        <w:rPr>
          <w:rFonts w:ascii="微软雅黑" w:eastAsia="微软雅黑" w:hAnsi="微软雅黑" w:cs="宋体" w:hint="eastAsia"/>
          <w:kern w:val="0"/>
          <w:szCs w:val="21"/>
        </w:rPr>
        <w:t>公告送出日期：</w:t>
      </w:r>
      <w:r>
        <w:rPr>
          <w:rFonts w:ascii="微软雅黑" w:eastAsia="微软雅黑" w:hAnsi="微软雅黑" w:cs="宋体"/>
          <w:kern w:val="0"/>
          <w:szCs w:val="21"/>
        </w:rPr>
        <w:t>2024</w:t>
      </w:r>
      <w:r>
        <w:rPr>
          <w:rFonts w:ascii="微软雅黑" w:eastAsia="微软雅黑" w:hAnsi="微软雅黑" w:cs="宋体" w:hint="eastAsia"/>
          <w:kern w:val="0"/>
          <w:szCs w:val="21"/>
        </w:rPr>
        <w:t>年</w:t>
      </w:r>
      <w:r>
        <w:rPr>
          <w:rFonts w:ascii="微软雅黑" w:eastAsia="微软雅黑" w:hAnsi="微软雅黑" w:cs="宋体" w:hint="eastAsia"/>
          <w:kern w:val="0"/>
          <w:szCs w:val="21"/>
        </w:rPr>
        <w:t>6</w:t>
      </w:r>
      <w:r>
        <w:rPr>
          <w:rFonts w:ascii="微软雅黑" w:eastAsia="微软雅黑" w:hAnsi="微软雅黑" w:cs="宋体" w:hint="eastAsia"/>
          <w:kern w:val="0"/>
          <w:szCs w:val="21"/>
        </w:rPr>
        <w:t>月</w:t>
      </w:r>
      <w:r>
        <w:rPr>
          <w:rFonts w:ascii="微软雅黑" w:eastAsia="微软雅黑" w:hAnsi="微软雅黑" w:cs="宋体"/>
          <w:kern w:val="0"/>
          <w:szCs w:val="21"/>
        </w:rPr>
        <w:t>21</w:t>
      </w:r>
      <w:r>
        <w:rPr>
          <w:rFonts w:ascii="微软雅黑" w:eastAsia="微软雅黑" w:hAnsi="微软雅黑" w:cs="宋体" w:hint="eastAsia"/>
          <w:kern w:val="0"/>
          <w:szCs w:val="21"/>
        </w:rPr>
        <w:t>日</w:t>
      </w:r>
    </w:p>
    <w:p w:rsidR="0019121F" w:rsidRDefault="0071558C">
      <w:pPr>
        <w:widowControl/>
        <w:spacing w:line="375" w:lineRule="atLeast"/>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1 </w:t>
      </w:r>
      <w:r>
        <w:rPr>
          <w:rFonts w:ascii="微软雅黑" w:eastAsia="微软雅黑" w:hAnsi="微软雅黑" w:cs="宋体" w:hint="eastAsia"/>
          <w:b/>
          <w:kern w:val="0"/>
          <w:szCs w:val="21"/>
        </w:rPr>
        <w:t>公告基本信息</w:t>
      </w:r>
    </w:p>
    <w:tbl>
      <w:tblPr>
        <w:tblW w:w="0" w:type="auto"/>
        <w:tblInd w:w="108" w:type="dxa"/>
        <w:shd w:val="clear" w:color="auto" w:fill="FFFFFF"/>
        <w:tblLayout w:type="fixed"/>
        <w:tblCellMar>
          <w:left w:w="0" w:type="dxa"/>
          <w:right w:w="0" w:type="dxa"/>
        </w:tblCellMar>
        <w:tblLook w:val="04A0"/>
      </w:tblPr>
      <w:tblGrid>
        <w:gridCol w:w="1164"/>
        <w:gridCol w:w="2063"/>
        <w:gridCol w:w="2609"/>
        <w:gridCol w:w="2348"/>
      </w:tblGrid>
      <w:tr w:rsidR="0019121F">
        <w:trPr>
          <w:trHeight w:val="300"/>
        </w:trPr>
        <w:tc>
          <w:tcPr>
            <w:tcW w:w="322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基金名称</w:t>
            </w:r>
          </w:p>
        </w:tc>
        <w:tc>
          <w:tcPr>
            <w:tcW w:w="4957"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方正富邦添利纯债债券型证券投资基金</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基金简称</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方正富邦</w:t>
            </w:r>
            <w:r>
              <w:rPr>
                <w:rFonts w:ascii="微软雅黑" w:eastAsia="微软雅黑" w:hAnsi="微软雅黑" w:cs="宋体"/>
                <w:kern w:val="0"/>
                <w:szCs w:val="21"/>
              </w:rPr>
              <w:t>添利</w:t>
            </w:r>
            <w:r>
              <w:rPr>
                <w:rFonts w:ascii="微软雅黑" w:eastAsia="微软雅黑" w:hAnsi="微软雅黑" w:cs="宋体" w:hint="eastAsia"/>
                <w:kern w:val="0"/>
                <w:szCs w:val="21"/>
              </w:rPr>
              <w:t>纯债</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基金主代码</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0</w:t>
            </w:r>
            <w:r>
              <w:rPr>
                <w:rFonts w:ascii="微软雅黑" w:eastAsia="微软雅黑" w:hAnsi="微软雅黑" w:cs="宋体"/>
                <w:kern w:val="0"/>
                <w:szCs w:val="21"/>
              </w:rPr>
              <w:t>07311</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基金合同生效日</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2</w:t>
            </w:r>
            <w:r>
              <w:rPr>
                <w:rFonts w:ascii="微软雅黑" w:eastAsia="微软雅黑" w:hAnsi="微软雅黑" w:cs="宋体"/>
                <w:kern w:val="0"/>
                <w:szCs w:val="21"/>
              </w:rPr>
              <w:t>019</w:t>
            </w:r>
            <w:r>
              <w:rPr>
                <w:rFonts w:ascii="微软雅黑" w:eastAsia="微软雅黑" w:hAnsi="微软雅黑" w:cs="宋体" w:hint="eastAsia"/>
                <w:kern w:val="0"/>
                <w:szCs w:val="21"/>
              </w:rPr>
              <w:t>-</w:t>
            </w:r>
            <w:r>
              <w:rPr>
                <w:rFonts w:ascii="微软雅黑" w:eastAsia="微软雅黑" w:hAnsi="微软雅黑" w:cs="宋体"/>
                <w:kern w:val="0"/>
                <w:szCs w:val="21"/>
              </w:rPr>
              <w:t>10</w:t>
            </w:r>
            <w:r>
              <w:rPr>
                <w:rFonts w:ascii="微软雅黑" w:eastAsia="微软雅黑" w:hAnsi="微软雅黑" w:cs="宋体" w:hint="eastAsia"/>
                <w:kern w:val="0"/>
                <w:szCs w:val="21"/>
              </w:rPr>
              <w:t>-</w:t>
            </w:r>
            <w:r>
              <w:rPr>
                <w:rFonts w:ascii="微软雅黑" w:eastAsia="微软雅黑" w:hAnsi="微软雅黑" w:cs="宋体"/>
                <w:kern w:val="0"/>
                <w:szCs w:val="21"/>
              </w:rPr>
              <w:t>31</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基金管理人名称</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方正富邦基金管理有限公司</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基金托管人名称</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kern w:val="0"/>
                <w:szCs w:val="21"/>
              </w:rPr>
              <w:t>中国建设银行股份有限公司</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公告依据</w:t>
            </w:r>
          </w:p>
        </w:tc>
        <w:tc>
          <w:tcPr>
            <w:tcW w:w="49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中华人民共和国证券投资基金法》、《公开募集证券投资基金信息披露管理办法》、《公开募集证券投资基金运作管理办法》、《方正富邦添利纯债债券型证券投资基金基金合同》及《方正富邦添利纯债债券型证券投资基金招募说明书》等的有关规定。</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收益分配基准日</w:t>
            </w:r>
          </w:p>
        </w:tc>
        <w:tc>
          <w:tcPr>
            <w:tcW w:w="49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kern w:val="0"/>
                <w:szCs w:val="21"/>
              </w:rPr>
              <w:t>2024</w:t>
            </w:r>
            <w:r>
              <w:rPr>
                <w:rFonts w:ascii="微软雅黑" w:eastAsia="微软雅黑" w:hAnsi="微软雅黑" w:cs="宋体" w:hint="eastAsia"/>
                <w:kern w:val="0"/>
                <w:szCs w:val="21"/>
              </w:rPr>
              <w:t>-</w:t>
            </w:r>
            <w:r>
              <w:rPr>
                <w:rFonts w:ascii="微软雅黑" w:eastAsia="微软雅黑" w:hAnsi="微软雅黑" w:cs="宋体" w:hint="eastAsia"/>
                <w:kern w:val="0"/>
                <w:szCs w:val="21"/>
              </w:rPr>
              <w:t>6</w:t>
            </w:r>
            <w:r>
              <w:rPr>
                <w:rFonts w:ascii="微软雅黑" w:eastAsia="微软雅黑" w:hAnsi="微软雅黑" w:cs="宋体" w:hint="eastAsia"/>
                <w:kern w:val="0"/>
                <w:szCs w:val="21"/>
              </w:rPr>
              <w:t>-</w:t>
            </w:r>
            <w:r>
              <w:rPr>
                <w:rFonts w:ascii="微软雅黑" w:eastAsia="微软雅黑" w:hAnsi="微软雅黑" w:cs="宋体"/>
                <w:kern w:val="0"/>
                <w:szCs w:val="21"/>
              </w:rPr>
              <w:t>1</w:t>
            </w:r>
            <w:r>
              <w:rPr>
                <w:rFonts w:ascii="微软雅黑" w:eastAsia="微软雅黑" w:hAnsi="微软雅黑" w:cs="宋体" w:hint="eastAsia"/>
                <w:kern w:val="0"/>
                <w:szCs w:val="21"/>
              </w:rPr>
              <w:t>4</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下属基金的基金简称</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方正富邦添利纯债</w:t>
            </w:r>
            <w:r>
              <w:rPr>
                <w:rFonts w:ascii="微软雅黑" w:eastAsia="微软雅黑" w:hAnsi="微软雅黑" w:cs="宋体" w:hint="eastAsia"/>
                <w:kern w:val="0"/>
                <w:szCs w:val="21"/>
              </w:rPr>
              <w:t>A</w:t>
            </w:r>
          </w:p>
        </w:tc>
        <w:tc>
          <w:tcPr>
            <w:tcW w:w="2348" w:type="dxa"/>
            <w:tcBorders>
              <w:top w:val="nil"/>
              <w:left w:val="nil"/>
              <w:bottom w:val="single" w:sz="8" w:space="0" w:color="auto"/>
              <w:right w:val="single" w:sz="8" w:space="0" w:color="auto"/>
            </w:tcBorders>
            <w:shd w:val="clear" w:color="auto" w:fill="FFFFFF"/>
            <w:vAlign w:val="center"/>
          </w:tcPr>
          <w:p w:rsidR="0019121F" w:rsidRDefault="0071558C">
            <w:pPr>
              <w:widowControl/>
              <w:ind w:firstLineChars="50" w:firstLine="105"/>
              <w:jc w:val="center"/>
              <w:rPr>
                <w:rFonts w:ascii="微软雅黑" w:eastAsia="微软雅黑" w:hAnsi="微软雅黑" w:cs="宋体"/>
                <w:kern w:val="0"/>
                <w:szCs w:val="21"/>
              </w:rPr>
            </w:pPr>
            <w:r>
              <w:rPr>
                <w:rFonts w:ascii="微软雅黑" w:eastAsia="微软雅黑" w:hAnsi="微软雅黑" w:cs="宋体" w:hint="eastAsia"/>
                <w:kern w:val="0"/>
                <w:szCs w:val="21"/>
              </w:rPr>
              <w:t>方正富邦添利纯债</w:t>
            </w:r>
            <w:r>
              <w:rPr>
                <w:rFonts w:ascii="微软雅黑" w:eastAsia="微软雅黑" w:hAnsi="微软雅黑" w:cs="宋体" w:hint="eastAsia"/>
                <w:kern w:val="0"/>
                <w:szCs w:val="21"/>
              </w:rPr>
              <w:t>C</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下属基金的基金代码</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0</w:t>
            </w:r>
            <w:r>
              <w:rPr>
                <w:rFonts w:ascii="微软雅黑" w:eastAsia="微软雅黑" w:hAnsi="微软雅黑" w:cs="宋体"/>
                <w:kern w:val="0"/>
                <w:szCs w:val="21"/>
              </w:rPr>
              <w:t>07311</w:t>
            </w:r>
          </w:p>
        </w:tc>
        <w:tc>
          <w:tcPr>
            <w:tcW w:w="2348" w:type="dxa"/>
            <w:tcBorders>
              <w:top w:val="nil"/>
              <w:left w:val="nil"/>
              <w:bottom w:val="single" w:sz="8" w:space="0" w:color="auto"/>
              <w:right w:val="single" w:sz="8" w:space="0" w:color="auto"/>
            </w:tcBorders>
            <w:shd w:val="clear" w:color="auto" w:fill="FFFFFF"/>
            <w:vAlign w:val="center"/>
          </w:tcPr>
          <w:p w:rsidR="0019121F" w:rsidRDefault="0071558C">
            <w:pPr>
              <w:widowControl/>
              <w:ind w:firstLineChars="50" w:firstLine="105"/>
              <w:jc w:val="center"/>
              <w:rPr>
                <w:rFonts w:ascii="微软雅黑" w:eastAsia="微软雅黑" w:hAnsi="微软雅黑" w:cs="宋体"/>
                <w:kern w:val="0"/>
                <w:szCs w:val="21"/>
              </w:rPr>
            </w:pPr>
            <w:r>
              <w:rPr>
                <w:rFonts w:ascii="微软雅黑" w:eastAsia="微软雅黑" w:hAnsi="微软雅黑" w:cs="宋体" w:hint="eastAsia"/>
                <w:kern w:val="0"/>
                <w:szCs w:val="21"/>
              </w:rPr>
              <w:t>0</w:t>
            </w:r>
            <w:r>
              <w:rPr>
                <w:rFonts w:ascii="微软雅黑" w:eastAsia="微软雅黑" w:hAnsi="微软雅黑" w:cs="宋体"/>
                <w:kern w:val="0"/>
                <w:szCs w:val="21"/>
              </w:rPr>
              <w:t>07312</w:t>
            </w:r>
          </w:p>
        </w:tc>
      </w:tr>
      <w:tr w:rsidR="0019121F">
        <w:trPr>
          <w:trHeight w:val="1256"/>
        </w:trPr>
        <w:tc>
          <w:tcPr>
            <w:tcW w:w="116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截止收益分配基准日的相关指标</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rPr>
                <w:rFonts w:ascii="微软雅黑" w:eastAsia="微软雅黑" w:hAnsi="微软雅黑" w:cs="宋体"/>
                <w:kern w:val="0"/>
                <w:szCs w:val="21"/>
              </w:rPr>
            </w:pPr>
            <w:r>
              <w:rPr>
                <w:rFonts w:ascii="微软雅黑" w:eastAsia="微软雅黑" w:hAnsi="微软雅黑" w:cs="宋体" w:hint="eastAsia"/>
                <w:kern w:val="0"/>
                <w:szCs w:val="21"/>
              </w:rPr>
              <w:t>基准日基金份额净值（单位：元）</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kern w:val="0"/>
                <w:szCs w:val="21"/>
              </w:rPr>
              <w:t>1.0318</w:t>
            </w:r>
          </w:p>
        </w:tc>
        <w:tc>
          <w:tcPr>
            <w:tcW w:w="2348" w:type="dxa"/>
            <w:tcBorders>
              <w:top w:val="nil"/>
              <w:left w:val="nil"/>
              <w:bottom w:val="single" w:sz="8" w:space="0" w:color="000000"/>
              <w:right w:val="single" w:sz="8" w:space="0" w:color="000000"/>
            </w:tcBorders>
            <w:shd w:val="clear" w:color="auto" w:fill="FFFFFF"/>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kern w:val="0"/>
                <w:szCs w:val="21"/>
              </w:rPr>
              <w:t>1.0275</w:t>
            </w:r>
          </w:p>
        </w:tc>
      </w:tr>
      <w:tr w:rsidR="0019121F">
        <w:trPr>
          <w:trHeight w:val="300"/>
        </w:trPr>
        <w:tc>
          <w:tcPr>
            <w:tcW w:w="1164" w:type="dxa"/>
            <w:vMerge/>
            <w:tcBorders>
              <w:top w:val="nil"/>
              <w:left w:val="single" w:sz="8" w:space="0" w:color="000000"/>
              <w:bottom w:val="single" w:sz="8" w:space="0" w:color="000000"/>
              <w:right w:val="single" w:sz="8" w:space="0" w:color="000000"/>
            </w:tcBorders>
            <w:shd w:val="clear" w:color="auto" w:fill="FFFFFF"/>
            <w:vAlign w:val="center"/>
          </w:tcPr>
          <w:p w:rsidR="0019121F" w:rsidRDefault="0019121F">
            <w:pPr>
              <w:widowControl/>
              <w:jc w:val="left"/>
              <w:rPr>
                <w:rFonts w:ascii="微软雅黑" w:eastAsia="微软雅黑" w:hAnsi="微软雅黑" w:cs="宋体"/>
                <w:kern w:val="0"/>
                <w:sz w:val="24"/>
                <w:szCs w:val="24"/>
              </w:rPr>
            </w:pP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基准日基金可供分配利润（单位：元）</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kern w:val="0"/>
                <w:szCs w:val="21"/>
              </w:rPr>
              <w:t>26,823,903.21</w:t>
            </w:r>
          </w:p>
        </w:tc>
        <w:tc>
          <w:tcPr>
            <w:tcW w:w="2348" w:type="dxa"/>
            <w:tcBorders>
              <w:top w:val="nil"/>
              <w:left w:val="nil"/>
              <w:bottom w:val="single" w:sz="8" w:space="0" w:color="auto"/>
              <w:right w:val="single" w:sz="8" w:space="0" w:color="auto"/>
            </w:tcBorders>
            <w:shd w:val="clear" w:color="auto" w:fill="FFFFFF"/>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kern w:val="0"/>
                <w:szCs w:val="21"/>
              </w:rPr>
              <w:t>1,171.38</w:t>
            </w:r>
          </w:p>
        </w:tc>
      </w:tr>
      <w:tr w:rsidR="0019121F">
        <w:trPr>
          <w:trHeight w:val="300"/>
        </w:trPr>
        <w:tc>
          <w:tcPr>
            <w:tcW w:w="1164" w:type="dxa"/>
            <w:vMerge/>
            <w:tcBorders>
              <w:top w:val="nil"/>
              <w:left w:val="single" w:sz="8" w:space="0" w:color="000000"/>
              <w:bottom w:val="single" w:sz="8" w:space="0" w:color="000000"/>
              <w:right w:val="single" w:sz="8" w:space="0" w:color="000000"/>
            </w:tcBorders>
            <w:shd w:val="clear" w:color="auto" w:fill="FFFFFF"/>
            <w:vAlign w:val="center"/>
          </w:tcPr>
          <w:p w:rsidR="0019121F" w:rsidRDefault="0019121F">
            <w:pPr>
              <w:widowControl/>
              <w:jc w:val="left"/>
              <w:rPr>
                <w:rFonts w:ascii="微软雅黑" w:eastAsia="微软雅黑" w:hAnsi="微软雅黑" w:cs="宋体"/>
                <w:kern w:val="0"/>
                <w:sz w:val="24"/>
                <w:szCs w:val="24"/>
              </w:rPr>
            </w:pP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截止基准日按照基</w:t>
            </w:r>
            <w:r>
              <w:rPr>
                <w:rFonts w:ascii="微软雅黑" w:eastAsia="微软雅黑" w:hAnsi="微软雅黑" w:cs="宋体" w:hint="eastAsia"/>
                <w:kern w:val="0"/>
                <w:szCs w:val="21"/>
              </w:rPr>
              <w:lastRenderedPageBreak/>
              <w:t>金合同约定的分红比例计算的应分配金额（单位：元）</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lastRenderedPageBreak/>
              <w:t>-</w:t>
            </w:r>
          </w:p>
        </w:tc>
        <w:tc>
          <w:tcPr>
            <w:tcW w:w="2348" w:type="dxa"/>
            <w:tcBorders>
              <w:top w:val="nil"/>
              <w:left w:val="nil"/>
              <w:bottom w:val="single" w:sz="8" w:space="0" w:color="auto"/>
              <w:right w:val="single" w:sz="8" w:space="0" w:color="auto"/>
            </w:tcBorders>
            <w:shd w:val="clear" w:color="auto" w:fill="FFFFFF"/>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lastRenderedPageBreak/>
              <w:t>本次下属基金分配方案（单位：元</w:t>
            </w:r>
            <w:r>
              <w:rPr>
                <w:rFonts w:ascii="微软雅黑" w:eastAsia="微软雅黑" w:hAnsi="微软雅黑" w:cs="宋体"/>
                <w:kern w:val="0"/>
                <w:szCs w:val="21"/>
              </w:rPr>
              <w:t>/10</w:t>
            </w:r>
            <w:r>
              <w:rPr>
                <w:rFonts w:ascii="微软雅黑" w:eastAsia="微软雅黑" w:hAnsi="微软雅黑" w:cs="宋体"/>
                <w:kern w:val="0"/>
                <w:szCs w:val="21"/>
              </w:rPr>
              <w:t>份基金份额）</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kern w:val="0"/>
                <w:szCs w:val="21"/>
              </w:rPr>
              <w:t>0.10</w:t>
            </w:r>
          </w:p>
        </w:tc>
        <w:tc>
          <w:tcPr>
            <w:tcW w:w="2348" w:type="dxa"/>
            <w:tcBorders>
              <w:top w:val="nil"/>
              <w:left w:val="nil"/>
              <w:bottom w:val="single" w:sz="8" w:space="0" w:color="auto"/>
              <w:right w:val="single" w:sz="8" w:space="0" w:color="auto"/>
            </w:tcBorders>
            <w:shd w:val="clear" w:color="auto" w:fill="FFFFFF"/>
            <w:vAlign w:val="center"/>
          </w:tcPr>
          <w:p w:rsidR="0019121F" w:rsidRDefault="0071558C">
            <w:pPr>
              <w:widowControl/>
              <w:jc w:val="center"/>
              <w:rPr>
                <w:rFonts w:ascii="微软雅黑" w:eastAsia="微软雅黑" w:hAnsi="微软雅黑" w:cs="宋体"/>
                <w:kern w:val="0"/>
                <w:szCs w:val="21"/>
              </w:rPr>
            </w:pPr>
            <w:r>
              <w:rPr>
                <w:rFonts w:ascii="微软雅黑" w:eastAsia="微软雅黑" w:hAnsi="微软雅黑" w:cs="宋体"/>
                <w:kern w:val="0"/>
                <w:szCs w:val="21"/>
              </w:rPr>
              <w:t>0.10</w:t>
            </w:r>
          </w:p>
        </w:tc>
      </w:tr>
      <w:tr w:rsidR="0019121F">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有关年度分红次数的说明</w:t>
            </w:r>
          </w:p>
        </w:tc>
        <w:tc>
          <w:tcPr>
            <w:tcW w:w="49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本次分红为</w:t>
            </w:r>
            <w:r>
              <w:rPr>
                <w:rFonts w:ascii="微软雅黑" w:eastAsia="微软雅黑" w:hAnsi="微软雅黑" w:cs="宋体"/>
                <w:kern w:val="0"/>
                <w:szCs w:val="21"/>
              </w:rPr>
              <w:t>2024</w:t>
            </w:r>
            <w:r>
              <w:rPr>
                <w:rFonts w:ascii="微软雅黑" w:eastAsia="微软雅黑" w:hAnsi="微软雅黑" w:cs="宋体" w:hint="eastAsia"/>
                <w:kern w:val="0"/>
                <w:szCs w:val="21"/>
              </w:rPr>
              <w:t>年度的第</w:t>
            </w:r>
            <w:r>
              <w:rPr>
                <w:rFonts w:ascii="微软雅黑" w:eastAsia="微软雅黑" w:hAnsi="微软雅黑" w:cs="宋体" w:hint="eastAsia"/>
                <w:kern w:val="0"/>
                <w:szCs w:val="21"/>
              </w:rPr>
              <w:t>2</w:t>
            </w:r>
            <w:r>
              <w:rPr>
                <w:rFonts w:ascii="微软雅黑" w:eastAsia="微软雅黑" w:hAnsi="微软雅黑" w:cs="宋体" w:hint="eastAsia"/>
                <w:kern w:val="0"/>
                <w:szCs w:val="21"/>
              </w:rPr>
              <w:t>次分红。</w:t>
            </w:r>
          </w:p>
        </w:tc>
      </w:tr>
    </w:tbl>
    <w:p w:rsidR="0019121F" w:rsidRDefault="0071558C">
      <w:pPr>
        <w:widowControl/>
        <w:spacing w:line="375" w:lineRule="atLeast"/>
        <w:jc w:val="left"/>
        <w:rPr>
          <w:rFonts w:ascii="微软雅黑" w:eastAsia="微软雅黑" w:hAnsi="微软雅黑" w:cs="宋体"/>
          <w:kern w:val="0"/>
          <w:sz w:val="18"/>
          <w:szCs w:val="18"/>
        </w:rPr>
      </w:pPr>
      <w:r>
        <w:rPr>
          <w:rFonts w:ascii="微软雅黑" w:eastAsia="微软雅黑" w:hAnsi="微软雅黑" w:cs="宋体" w:hint="eastAsia"/>
          <w:kern w:val="0"/>
          <w:szCs w:val="21"/>
        </w:rPr>
        <w:t>     </w:t>
      </w:r>
      <w:r>
        <w:rPr>
          <w:rFonts w:ascii="微软雅黑" w:eastAsia="微软雅黑" w:hAnsi="微软雅黑" w:cs="宋体" w:hint="eastAsia"/>
          <w:b/>
          <w:bCs/>
          <w:kern w:val="0"/>
          <w:szCs w:val="21"/>
        </w:rPr>
        <w:t>2 </w:t>
      </w:r>
      <w:r>
        <w:rPr>
          <w:rFonts w:ascii="微软雅黑" w:eastAsia="微软雅黑" w:hAnsi="微软雅黑" w:cs="宋体" w:hint="eastAsia"/>
          <w:b/>
          <w:bCs/>
          <w:kern w:val="0"/>
          <w:szCs w:val="21"/>
        </w:rPr>
        <w:t>与分红相关的其他信息</w:t>
      </w:r>
    </w:p>
    <w:tbl>
      <w:tblPr>
        <w:tblW w:w="0" w:type="auto"/>
        <w:tblInd w:w="108" w:type="dxa"/>
        <w:shd w:val="clear" w:color="auto" w:fill="FFFFFF"/>
        <w:tblCellMar>
          <w:left w:w="0" w:type="dxa"/>
          <w:right w:w="0" w:type="dxa"/>
        </w:tblCellMar>
        <w:tblLook w:val="04A0"/>
      </w:tblPr>
      <w:tblGrid>
        <w:gridCol w:w="3844"/>
        <w:gridCol w:w="4403"/>
      </w:tblGrid>
      <w:tr w:rsidR="0019121F">
        <w:trPr>
          <w:trHeight w:val="300"/>
        </w:trPr>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权益登记日</w:t>
            </w:r>
          </w:p>
        </w:tc>
        <w:tc>
          <w:tcPr>
            <w:tcW w:w="44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kern w:val="0"/>
                <w:szCs w:val="21"/>
              </w:rPr>
              <w:t>2024</w:t>
            </w:r>
            <w:r>
              <w:rPr>
                <w:rFonts w:ascii="微软雅黑" w:eastAsia="微软雅黑" w:hAnsi="微软雅黑" w:cs="宋体" w:hint="eastAsia"/>
                <w:kern w:val="0"/>
                <w:szCs w:val="21"/>
              </w:rPr>
              <w:t>-</w:t>
            </w:r>
            <w:r>
              <w:rPr>
                <w:rFonts w:ascii="微软雅黑" w:eastAsia="微软雅黑" w:hAnsi="微软雅黑" w:cs="宋体" w:hint="eastAsia"/>
                <w:kern w:val="0"/>
                <w:szCs w:val="21"/>
              </w:rPr>
              <w:t>6</w:t>
            </w:r>
            <w:r>
              <w:rPr>
                <w:rFonts w:ascii="微软雅黑" w:eastAsia="微软雅黑" w:hAnsi="微软雅黑" w:cs="宋体" w:hint="eastAsia"/>
                <w:kern w:val="0"/>
                <w:szCs w:val="21"/>
              </w:rPr>
              <w:t>-</w:t>
            </w:r>
            <w:r>
              <w:rPr>
                <w:rFonts w:ascii="微软雅黑" w:eastAsia="微软雅黑" w:hAnsi="微软雅黑" w:cs="宋体"/>
                <w:kern w:val="0"/>
                <w:szCs w:val="21"/>
              </w:rPr>
              <w:t>21</w:t>
            </w:r>
          </w:p>
        </w:tc>
      </w:tr>
      <w:tr w:rsidR="0019121F">
        <w:trPr>
          <w:trHeight w:val="407"/>
        </w:trPr>
        <w:tc>
          <w:tcPr>
            <w:tcW w:w="3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除息日</w:t>
            </w:r>
          </w:p>
        </w:tc>
        <w:tc>
          <w:tcPr>
            <w:tcW w:w="4403" w:type="dxa"/>
            <w:tcBorders>
              <w:top w:val="nil"/>
              <w:left w:val="nil"/>
              <w:bottom w:val="nil"/>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kern w:val="0"/>
                <w:szCs w:val="21"/>
              </w:rPr>
              <w:t>2024</w:t>
            </w:r>
            <w:r>
              <w:rPr>
                <w:rFonts w:ascii="微软雅黑" w:eastAsia="微软雅黑" w:hAnsi="微软雅黑" w:cs="宋体" w:hint="eastAsia"/>
                <w:kern w:val="0"/>
                <w:szCs w:val="21"/>
              </w:rPr>
              <w:t>-</w:t>
            </w:r>
            <w:r>
              <w:rPr>
                <w:rFonts w:ascii="微软雅黑" w:eastAsia="微软雅黑" w:hAnsi="微软雅黑" w:cs="宋体" w:hint="eastAsia"/>
                <w:kern w:val="0"/>
                <w:szCs w:val="21"/>
              </w:rPr>
              <w:t>6</w:t>
            </w:r>
            <w:r>
              <w:rPr>
                <w:rFonts w:ascii="微软雅黑" w:eastAsia="微软雅黑" w:hAnsi="微软雅黑" w:cs="宋体" w:hint="eastAsia"/>
                <w:kern w:val="0"/>
                <w:szCs w:val="21"/>
              </w:rPr>
              <w:t>-</w:t>
            </w:r>
            <w:r>
              <w:rPr>
                <w:rFonts w:ascii="微软雅黑" w:eastAsia="微软雅黑" w:hAnsi="微软雅黑" w:cs="宋体"/>
                <w:kern w:val="0"/>
                <w:szCs w:val="21"/>
              </w:rPr>
              <w:t>21</w:t>
            </w:r>
          </w:p>
        </w:tc>
      </w:tr>
      <w:tr w:rsidR="0019121F">
        <w:trPr>
          <w:trHeight w:val="300"/>
        </w:trPr>
        <w:tc>
          <w:tcPr>
            <w:tcW w:w="3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现金红利发放日</w:t>
            </w:r>
          </w:p>
        </w:tc>
        <w:tc>
          <w:tcPr>
            <w:tcW w:w="44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Cs w:val="21"/>
              </w:rPr>
            </w:pPr>
            <w:r>
              <w:rPr>
                <w:rFonts w:ascii="微软雅黑" w:eastAsia="微软雅黑" w:hAnsi="微软雅黑" w:cs="宋体"/>
                <w:kern w:val="0"/>
                <w:szCs w:val="21"/>
              </w:rPr>
              <w:t>2024</w:t>
            </w:r>
            <w:r>
              <w:rPr>
                <w:rFonts w:ascii="微软雅黑" w:eastAsia="微软雅黑" w:hAnsi="微软雅黑" w:cs="宋体" w:hint="eastAsia"/>
                <w:kern w:val="0"/>
                <w:szCs w:val="21"/>
              </w:rPr>
              <w:t>-</w:t>
            </w:r>
            <w:r>
              <w:rPr>
                <w:rFonts w:ascii="微软雅黑" w:eastAsia="微软雅黑" w:hAnsi="微软雅黑" w:cs="宋体" w:hint="eastAsia"/>
                <w:kern w:val="0"/>
                <w:szCs w:val="21"/>
              </w:rPr>
              <w:t>6</w:t>
            </w:r>
            <w:r>
              <w:rPr>
                <w:rFonts w:ascii="微软雅黑" w:eastAsia="微软雅黑" w:hAnsi="微软雅黑" w:cs="宋体" w:hint="eastAsia"/>
                <w:kern w:val="0"/>
                <w:szCs w:val="21"/>
              </w:rPr>
              <w:t>-</w:t>
            </w:r>
            <w:r>
              <w:rPr>
                <w:rFonts w:ascii="微软雅黑" w:eastAsia="微软雅黑" w:hAnsi="微软雅黑" w:cs="宋体"/>
                <w:kern w:val="0"/>
                <w:szCs w:val="21"/>
              </w:rPr>
              <w:t>2</w:t>
            </w:r>
            <w:r>
              <w:rPr>
                <w:rFonts w:ascii="微软雅黑" w:eastAsia="微软雅黑" w:hAnsi="微软雅黑" w:cs="宋体" w:hint="eastAsia"/>
                <w:kern w:val="0"/>
                <w:szCs w:val="21"/>
              </w:rPr>
              <w:t>4</w:t>
            </w:r>
          </w:p>
        </w:tc>
      </w:tr>
      <w:tr w:rsidR="0019121F">
        <w:trPr>
          <w:trHeight w:val="300"/>
        </w:trPr>
        <w:tc>
          <w:tcPr>
            <w:tcW w:w="3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分红对象</w:t>
            </w:r>
          </w:p>
        </w:tc>
        <w:tc>
          <w:tcPr>
            <w:tcW w:w="4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权益登记日在本基金管理人登记在册的本基金全体份额持有人。</w:t>
            </w:r>
          </w:p>
        </w:tc>
      </w:tr>
      <w:tr w:rsidR="0019121F">
        <w:trPr>
          <w:trHeight w:val="300"/>
        </w:trPr>
        <w:tc>
          <w:tcPr>
            <w:tcW w:w="3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红利再投资相关事项的说明</w:t>
            </w:r>
          </w:p>
        </w:tc>
        <w:tc>
          <w:tcPr>
            <w:tcW w:w="4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选择红利再投资方式的投资者，其红利将按照</w:t>
            </w:r>
            <w:r>
              <w:rPr>
                <w:rFonts w:ascii="微软雅黑" w:eastAsia="微软雅黑" w:hAnsi="微软雅黑" w:cs="宋体"/>
                <w:kern w:val="0"/>
                <w:szCs w:val="21"/>
              </w:rPr>
              <w:t>2024</w:t>
            </w:r>
            <w:r>
              <w:rPr>
                <w:rFonts w:ascii="微软雅黑" w:eastAsia="微软雅黑" w:hAnsi="微软雅黑" w:cs="宋体" w:hint="eastAsia"/>
                <w:kern w:val="0"/>
                <w:szCs w:val="21"/>
              </w:rPr>
              <w:t>年</w:t>
            </w:r>
            <w:r>
              <w:rPr>
                <w:rFonts w:ascii="微软雅黑" w:eastAsia="微软雅黑" w:hAnsi="微软雅黑" w:cs="宋体" w:hint="eastAsia"/>
                <w:kern w:val="0"/>
                <w:szCs w:val="21"/>
              </w:rPr>
              <w:t>6</w:t>
            </w:r>
            <w:r>
              <w:rPr>
                <w:rFonts w:ascii="微软雅黑" w:eastAsia="微软雅黑" w:hAnsi="微软雅黑" w:cs="宋体" w:hint="eastAsia"/>
                <w:kern w:val="0"/>
                <w:szCs w:val="21"/>
              </w:rPr>
              <w:t>月</w:t>
            </w:r>
            <w:r>
              <w:rPr>
                <w:rFonts w:ascii="微软雅黑" w:eastAsia="微软雅黑" w:hAnsi="微软雅黑" w:cs="宋体"/>
                <w:kern w:val="0"/>
                <w:szCs w:val="21"/>
              </w:rPr>
              <w:t>21</w:t>
            </w:r>
            <w:r>
              <w:rPr>
                <w:rFonts w:ascii="微软雅黑" w:eastAsia="微软雅黑" w:hAnsi="微软雅黑" w:cs="宋体" w:hint="eastAsia"/>
                <w:kern w:val="0"/>
                <w:szCs w:val="21"/>
              </w:rPr>
              <w:t>日除息后的基金份额净值为计算基准确定再投资份额。本基金管理人对红利再投资所确定的基金份额于</w:t>
            </w:r>
            <w:r>
              <w:rPr>
                <w:rFonts w:ascii="微软雅黑" w:eastAsia="微软雅黑" w:hAnsi="微软雅黑" w:cs="宋体"/>
                <w:kern w:val="0"/>
                <w:szCs w:val="21"/>
              </w:rPr>
              <w:t>2024</w:t>
            </w:r>
            <w:r>
              <w:rPr>
                <w:rFonts w:ascii="微软雅黑" w:eastAsia="微软雅黑" w:hAnsi="微软雅黑" w:cs="宋体" w:hint="eastAsia"/>
                <w:kern w:val="0"/>
                <w:szCs w:val="21"/>
              </w:rPr>
              <w:t>年</w:t>
            </w:r>
            <w:r>
              <w:rPr>
                <w:rFonts w:ascii="微软雅黑" w:eastAsia="微软雅黑" w:hAnsi="微软雅黑" w:cs="宋体" w:hint="eastAsia"/>
                <w:kern w:val="0"/>
                <w:szCs w:val="21"/>
              </w:rPr>
              <w:t>6</w:t>
            </w:r>
            <w:r>
              <w:rPr>
                <w:rFonts w:ascii="微软雅黑" w:eastAsia="微软雅黑" w:hAnsi="微软雅黑" w:cs="宋体" w:hint="eastAsia"/>
                <w:kern w:val="0"/>
                <w:szCs w:val="21"/>
              </w:rPr>
              <w:t>月</w:t>
            </w:r>
            <w:r>
              <w:rPr>
                <w:rFonts w:ascii="微软雅黑" w:eastAsia="微软雅黑" w:hAnsi="微软雅黑" w:cs="宋体"/>
                <w:kern w:val="0"/>
                <w:szCs w:val="21"/>
              </w:rPr>
              <w:t>2</w:t>
            </w:r>
            <w:r>
              <w:rPr>
                <w:rFonts w:ascii="微软雅黑" w:eastAsia="微软雅黑" w:hAnsi="微软雅黑" w:cs="宋体" w:hint="eastAsia"/>
                <w:kern w:val="0"/>
                <w:szCs w:val="21"/>
              </w:rPr>
              <w:t>4</w:t>
            </w:r>
            <w:r>
              <w:rPr>
                <w:rFonts w:ascii="微软雅黑" w:eastAsia="微软雅黑" w:hAnsi="微软雅黑" w:cs="宋体" w:hint="eastAsia"/>
                <w:kern w:val="0"/>
                <w:szCs w:val="21"/>
              </w:rPr>
              <w:t>日直接计入其基金账户，</w:t>
            </w:r>
            <w:r>
              <w:rPr>
                <w:rFonts w:ascii="微软雅黑" w:eastAsia="微软雅黑" w:hAnsi="微软雅黑" w:cs="宋体"/>
                <w:kern w:val="0"/>
                <w:szCs w:val="21"/>
              </w:rPr>
              <w:t>2024</w:t>
            </w:r>
            <w:r>
              <w:rPr>
                <w:rFonts w:ascii="微软雅黑" w:eastAsia="微软雅黑" w:hAnsi="微软雅黑" w:cs="宋体" w:hint="eastAsia"/>
                <w:kern w:val="0"/>
                <w:szCs w:val="21"/>
              </w:rPr>
              <w:t>年</w:t>
            </w:r>
            <w:r>
              <w:rPr>
                <w:rFonts w:ascii="微软雅黑" w:eastAsia="微软雅黑" w:hAnsi="微软雅黑" w:cs="宋体" w:hint="eastAsia"/>
                <w:kern w:val="0"/>
                <w:szCs w:val="21"/>
              </w:rPr>
              <w:t>6</w:t>
            </w:r>
            <w:bookmarkStart w:id="0" w:name="_GoBack"/>
            <w:bookmarkEnd w:id="0"/>
            <w:r>
              <w:rPr>
                <w:rFonts w:ascii="微软雅黑" w:eastAsia="微软雅黑" w:hAnsi="微软雅黑" w:cs="宋体" w:hint="eastAsia"/>
                <w:kern w:val="0"/>
                <w:szCs w:val="21"/>
              </w:rPr>
              <w:t>月</w:t>
            </w:r>
            <w:r>
              <w:rPr>
                <w:rFonts w:ascii="微软雅黑" w:eastAsia="微软雅黑" w:hAnsi="微软雅黑" w:cs="宋体"/>
                <w:kern w:val="0"/>
                <w:szCs w:val="21"/>
              </w:rPr>
              <w:t>25</w:t>
            </w:r>
            <w:r>
              <w:rPr>
                <w:rFonts w:ascii="微软雅黑" w:eastAsia="微软雅黑" w:hAnsi="微软雅黑" w:cs="宋体" w:hint="eastAsia"/>
                <w:kern w:val="0"/>
                <w:szCs w:val="21"/>
              </w:rPr>
              <w:t>日起投资者可以查询、赎回。</w:t>
            </w:r>
          </w:p>
        </w:tc>
      </w:tr>
      <w:tr w:rsidR="0019121F">
        <w:trPr>
          <w:trHeight w:val="300"/>
        </w:trPr>
        <w:tc>
          <w:tcPr>
            <w:tcW w:w="3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税收相关事项的说明</w:t>
            </w:r>
          </w:p>
        </w:tc>
        <w:tc>
          <w:tcPr>
            <w:tcW w:w="4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根据法律法规要求，基金向投资者分配的基金收益，暂免征收所得税。</w:t>
            </w:r>
          </w:p>
        </w:tc>
      </w:tr>
      <w:tr w:rsidR="0019121F">
        <w:trPr>
          <w:trHeight w:val="300"/>
        </w:trPr>
        <w:tc>
          <w:tcPr>
            <w:tcW w:w="3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费用相关事项的说明</w:t>
            </w:r>
          </w:p>
        </w:tc>
        <w:tc>
          <w:tcPr>
            <w:tcW w:w="4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121F" w:rsidRDefault="0071558C">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本基金本次分红免收分红手续费。选择采取红利再投资形式的，红利再投资的份额免收申购</w:t>
            </w:r>
            <w:r>
              <w:rPr>
                <w:rFonts w:ascii="微软雅黑" w:eastAsia="微软雅黑" w:hAnsi="微软雅黑" w:cs="宋体" w:hint="eastAsia"/>
                <w:kern w:val="0"/>
                <w:szCs w:val="21"/>
              </w:rPr>
              <w:lastRenderedPageBreak/>
              <w:t>费。</w:t>
            </w:r>
          </w:p>
        </w:tc>
      </w:tr>
    </w:tbl>
    <w:p w:rsidR="0019121F" w:rsidRDefault="0071558C">
      <w:pPr>
        <w:widowControl/>
        <w:spacing w:line="375" w:lineRule="atLeast"/>
        <w:ind w:firstLineChars="200" w:firstLine="420"/>
        <w:jc w:val="left"/>
        <w:rPr>
          <w:rFonts w:ascii="微软雅黑" w:eastAsia="微软雅黑" w:hAnsi="微软雅黑" w:cs="宋体"/>
          <w:kern w:val="0"/>
          <w:sz w:val="18"/>
          <w:szCs w:val="18"/>
        </w:rPr>
      </w:pPr>
      <w:r>
        <w:rPr>
          <w:rFonts w:ascii="微软雅黑" w:eastAsia="微软雅黑" w:hAnsi="微软雅黑" w:cs="宋体" w:hint="eastAsia"/>
          <w:b/>
          <w:bCs/>
          <w:kern w:val="0"/>
          <w:szCs w:val="21"/>
        </w:rPr>
        <w:lastRenderedPageBreak/>
        <w:t>3 </w:t>
      </w:r>
      <w:r>
        <w:rPr>
          <w:rFonts w:ascii="微软雅黑" w:eastAsia="微软雅黑" w:hAnsi="微软雅黑" w:cs="宋体" w:hint="eastAsia"/>
          <w:b/>
          <w:bCs/>
          <w:kern w:val="0"/>
          <w:szCs w:val="21"/>
        </w:rPr>
        <w:t>其他需要说明的事项</w:t>
      </w:r>
    </w:p>
    <w:p w:rsidR="0019121F" w:rsidRDefault="0071558C">
      <w:pPr>
        <w:widowControl/>
        <w:spacing w:line="375" w:lineRule="atLeast"/>
        <w:ind w:firstLineChars="200" w:firstLine="420"/>
        <w:rPr>
          <w:rFonts w:ascii="微软雅黑" w:eastAsia="微软雅黑" w:hAnsi="微软雅黑" w:cs="宋体"/>
          <w:kern w:val="0"/>
          <w:sz w:val="18"/>
          <w:szCs w:val="18"/>
        </w:rPr>
      </w:pPr>
      <w:r>
        <w:rPr>
          <w:rFonts w:ascii="微软雅黑" w:eastAsia="微软雅黑" w:hAnsi="微软雅黑" w:cs="宋体" w:hint="eastAsia"/>
          <w:kern w:val="0"/>
          <w:szCs w:val="21"/>
        </w:rPr>
        <w:t>3.1</w:t>
      </w:r>
      <w:r>
        <w:rPr>
          <w:rFonts w:ascii="微软雅黑" w:eastAsia="微软雅黑" w:hAnsi="微软雅黑" w:cs="宋体" w:hint="eastAsia"/>
          <w:kern w:val="0"/>
          <w:szCs w:val="21"/>
        </w:rPr>
        <w:t>权益登记日申请申购、定期定额申购、转换转入的基金份额不享有本次分红权益，权益登记日申请赎回、转换转出的基金份额享有本次分红收益。</w:t>
      </w:r>
    </w:p>
    <w:p w:rsidR="0019121F" w:rsidRDefault="0071558C">
      <w:pPr>
        <w:widowControl/>
        <w:spacing w:line="375" w:lineRule="atLeast"/>
        <w:ind w:firstLineChars="200" w:firstLine="420"/>
        <w:rPr>
          <w:rFonts w:ascii="微软雅黑" w:eastAsia="微软雅黑" w:hAnsi="微软雅黑" w:cs="宋体"/>
          <w:kern w:val="0"/>
          <w:sz w:val="18"/>
          <w:szCs w:val="18"/>
        </w:rPr>
      </w:pPr>
      <w:r>
        <w:rPr>
          <w:rFonts w:ascii="微软雅黑" w:eastAsia="微软雅黑" w:hAnsi="微软雅黑" w:cs="宋体" w:hint="eastAsia"/>
          <w:kern w:val="0"/>
          <w:szCs w:val="21"/>
        </w:rPr>
        <w:t>3.2</w:t>
      </w:r>
      <w:r>
        <w:rPr>
          <w:rFonts w:ascii="微软雅黑" w:eastAsia="微软雅黑" w:hAnsi="微软雅黑" w:cs="宋体" w:hint="eastAsia"/>
          <w:kern w:val="0"/>
          <w:szCs w:val="21"/>
        </w:rPr>
        <w:t>本基金收益分配方式分为现金分红与红利再投资。对于未选择具体分红方式的投资者，本基金默认的分红方式为现金分红。本次分红确认的方式将按照投资者在权益登记日之前（不含</w:t>
      </w:r>
      <w:r>
        <w:rPr>
          <w:rFonts w:ascii="微软雅黑" w:eastAsia="微软雅黑" w:hAnsi="微软雅黑" w:cs="宋体"/>
          <w:kern w:val="0"/>
          <w:szCs w:val="21"/>
        </w:rPr>
        <w:t>2024</w:t>
      </w:r>
      <w:r>
        <w:rPr>
          <w:rFonts w:ascii="微软雅黑" w:eastAsia="微软雅黑" w:hAnsi="微软雅黑" w:cs="宋体" w:hint="eastAsia"/>
          <w:kern w:val="0"/>
          <w:szCs w:val="21"/>
        </w:rPr>
        <w:t>年</w:t>
      </w:r>
      <w:r>
        <w:rPr>
          <w:rFonts w:ascii="微软雅黑" w:eastAsia="微软雅黑" w:hAnsi="微软雅黑" w:cs="宋体" w:hint="eastAsia"/>
          <w:kern w:val="0"/>
          <w:szCs w:val="21"/>
        </w:rPr>
        <w:t>6</w:t>
      </w:r>
      <w:r>
        <w:rPr>
          <w:rFonts w:ascii="微软雅黑" w:eastAsia="微软雅黑" w:hAnsi="微软雅黑" w:cs="宋体" w:hint="eastAsia"/>
          <w:kern w:val="0"/>
          <w:szCs w:val="21"/>
        </w:rPr>
        <w:t>月</w:t>
      </w:r>
      <w:r>
        <w:rPr>
          <w:rFonts w:ascii="微软雅黑" w:eastAsia="微软雅黑" w:hAnsi="微软雅黑" w:cs="宋体"/>
          <w:kern w:val="0"/>
          <w:szCs w:val="21"/>
        </w:rPr>
        <w:t>21</w:t>
      </w:r>
      <w:r>
        <w:rPr>
          <w:rFonts w:ascii="微软雅黑" w:eastAsia="微软雅黑" w:hAnsi="微软雅黑" w:cs="宋体" w:hint="eastAsia"/>
          <w:kern w:val="0"/>
          <w:szCs w:val="21"/>
        </w:rPr>
        <w:t>日）最后一次选择的分红方式为准。</w:t>
      </w:r>
    </w:p>
    <w:p w:rsidR="0019121F" w:rsidRDefault="0071558C">
      <w:pPr>
        <w:widowControl/>
        <w:spacing w:line="375" w:lineRule="atLeast"/>
        <w:ind w:firstLineChars="200" w:firstLine="420"/>
        <w:rPr>
          <w:rFonts w:ascii="微软雅黑" w:eastAsia="微软雅黑" w:hAnsi="微软雅黑" w:cs="宋体"/>
          <w:kern w:val="0"/>
          <w:sz w:val="18"/>
          <w:szCs w:val="18"/>
        </w:rPr>
      </w:pPr>
      <w:r>
        <w:rPr>
          <w:rFonts w:ascii="微软雅黑" w:eastAsia="微软雅黑" w:hAnsi="微软雅黑" w:cs="宋体" w:hint="eastAsia"/>
          <w:kern w:val="0"/>
          <w:szCs w:val="21"/>
        </w:rPr>
        <w:t>3.3</w:t>
      </w:r>
      <w:r>
        <w:rPr>
          <w:rFonts w:ascii="微软雅黑" w:eastAsia="微软雅黑" w:hAnsi="微软雅黑" w:cs="宋体" w:hint="eastAsia"/>
          <w:kern w:val="0"/>
          <w:szCs w:val="21"/>
        </w:rPr>
        <w:t>根据本基金的基金合同、招募说明书及相关公告规定，红利分配时所发生的银行转账或其它手续费用由投资者自行承担。当投资者的现金分红小于一定金额，不足于支付银行</w:t>
      </w:r>
      <w:r>
        <w:rPr>
          <w:rFonts w:ascii="微软雅黑" w:eastAsia="微软雅黑" w:hAnsi="微软雅黑" w:cs="宋体" w:hint="eastAsia"/>
          <w:kern w:val="0"/>
          <w:szCs w:val="21"/>
        </w:rPr>
        <w:t>转账或其它手续费用时，基金注册登记机构可将投资者的现金红利按权益登记日除</w:t>
      </w:r>
      <w:r>
        <w:rPr>
          <w:rFonts w:ascii="微软雅黑" w:eastAsia="微软雅黑" w:hAnsi="微软雅黑" w:cs="宋体"/>
          <w:kern w:val="0"/>
          <w:szCs w:val="21"/>
        </w:rPr>
        <w:t>息</w:t>
      </w:r>
      <w:r>
        <w:rPr>
          <w:rFonts w:ascii="微软雅黑" w:eastAsia="微软雅黑" w:hAnsi="微软雅黑" w:cs="宋体" w:hint="eastAsia"/>
          <w:kern w:val="0"/>
          <w:szCs w:val="21"/>
        </w:rPr>
        <w:t>后的基金份额净值自动转为基金份额。</w:t>
      </w:r>
    </w:p>
    <w:p w:rsidR="0019121F" w:rsidRDefault="0071558C">
      <w:pPr>
        <w:widowControl/>
        <w:spacing w:line="375" w:lineRule="atLeas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3.4</w:t>
      </w:r>
      <w:r>
        <w:rPr>
          <w:rFonts w:ascii="微软雅黑" w:eastAsia="微软雅黑" w:hAnsi="微软雅黑" w:cs="宋体" w:hint="eastAsia"/>
          <w:kern w:val="0"/>
          <w:szCs w:val="21"/>
        </w:rPr>
        <w:t>本基金份额持有人及希望了解本基金其它有关信息的投资者，可以登录本基金管理人网站（</w:t>
      </w:r>
      <w:r>
        <w:rPr>
          <w:rFonts w:ascii="微软雅黑" w:eastAsia="微软雅黑" w:hAnsi="微软雅黑" w:cs="宋体" w:hint="eastAsia"/>
          <w:kern w:val="0"/>
          <w:szCs w:val="21"/>
        </w:rPr>
        <w:t>www.founderff.com</w:t>
      </w:r>
      <w:r>
        <w:rPr>
          <w:rFonts w:ascii="微软雅黑" w:eastAsia="微软雅黑" w:hAnsi="微软雅黑" w:cs="宋体" w:hint="eastAsia"/>
          <w:kern w:val="0"/>
          <w:szCs w:val="21"/>
        </w:rPr>
        <w:t>）或拨打客户服务电话（</w:t>
      </w:r>
      <w:r>
        <w:rPr>
          <w:rFonts w:ascii="微软雅黑" w:eastAsia="微软雅黑" w:hAnsi="微软雅黑" w:cs="宋体" w:hint="eastAsia"/>
          <w:kern w:val="0"/>
          <w:szCs w:val="21"/>
        </w:rPr>
        <w:t>400-818-0990</w:t>
      </w:r>
      <w:r>
        <w:rPr>
          <w:rFonts w:ascii="微软雅黑" w:eastAsia="微软雅黑" w:hAnsi="微软雅黑" w:cs="宋体" w:hint="eastAsia"/>
          <w:kern w:val="0"/>
          <w:szCs w:val="21"/>
        </w:rPr>
        <w:t>）咨询相关事宜。</w:t>
      </w:r>
    </w:p>
    <w:p w:rsidR="0019121F" w:rsidRDefault="0071558C">
      <w:pPr>
        <w:spacing w:line="360" w:lineRule="auto"/>
        <w:ind w:firstLine="420"/>
        <w:rPr>
          <w:rFonts w:ascii="微软雅黑" w:eastAsia="微软雅黑" w:hAnsi="微软雅黑" w:cs="宋体"/>
          <w:kern w:val="0"/>
          <w:szCs w:val="21"/>
        </w:rPr>
      </w:pPr>
      <w:r>
        <w:rPr>
          <w:rFonts w:ascii="微软雅黑" w:eastAsia="微软雅黑" w:hAnsi="微软雅黑" w:cs="宋体" w:hint="eastAsia"/>
          <w:kern w:val="0"/>
          <w:szCs w:val="21"/>
        </w:rPr>
        <w:t xml:space="preserve">3.5 </w:t>
      </w:r>
      <w:r>
        <w:rPr>
          <w:rFonts w:ascii="微软雅黑" w:eastAsia="微软雅黑" w:hAnsi="微软雅黑" w:cs="宋体" w:hint="eastAsia"/>
          <w:kern w:val="0"/>
          <w:szCs w:val="21"/>
        </w:rPr>
        <w:t>风险提示：基金管理人承诺以恪尽职守、诚实信用、谨慎勤勉的原则管理和运用基金资产，但不保证基金一定盈利，也不保证最低收益。基金管理人提醒投资者在做出投资决策前应全面了解基金的产品特性并充分考虑自身的风险承受能力，</w:t>
      </w:r>
      <w:r>
        <w:rPr>
          <w:rFonts w:ascii="微软雅黑" w:eastAsia="微软雅黑" w:hAnsi="微软雅黑" w:cs="宋体" w:hint="eastAsia"/>
          <w:kern w:val="0"/>
          <w:szCs w:val="21"/>
        </w:rPr>
        <w:t>理性判断市场，投资者自行承担基金运营状况与基金净值变化引致的投资风险。投资有风险，选择须谨慎。敬请投资者于投资前认真阅读基金的基金合同、最新招募说明书及其他法律文件。</w:t>
      </w:r>
    </w:p>
    <w:p w:rsidR="0019121F" w:rsidRDefault="0071558C">
      <w:pPr>
        <w:widowControl/>
        <w:spacing w:line="375" w:lineRule="atLeast"/>
        <w:ind w:firstLineChars="200" w:firstLine="420"/>
        <w:jc w:val="left"/>
        <w:rPr>
          <w:rFonts w:ascii="微软雅黑" w:eastAsia="微软雅黑" w:hAnsi="微软雅黑" w:cs="宋体"/>
          <w:color w:val="555555"/>
          <w:kern w:val="0"/>
          <w:szCs w:val="21"/>
        </w:rPr>
      </w:pPr>
      <w:r>
        <w:rPr>
          <w:rFonts w:ascii="微软雅黑" w:eastAsia="微软雅黑" w:hAnsi="微软雅黑" w:cs="宋体" w:hint="eastAsia"/>
          <w:kern w:val="0"/>
          <w:szCs w:val="21"/>
        </w:rPr>
        <w:t>特此公告。</w:t>
      </w:r>
    </w:p>
    <w:p w:rsidR="0019121F" w:rsidRDefault="0071558C">
      <w:pPr>
        <w:widowControl/>
        <w:spacing w:line="375" w:lineRule="atLeast"/>
        <w:ind w:firstLine="420"/>
        <w:jc w:val="right"/>
        <w:rPr>
          <w:rFonts w:ascii="微软雅黑" w:eastAsia="微软雅黑" w:hAnsi="微软雅黑" w:cs="宋体"/>
          <w:kern w:val="0"/>
          <w:sz w:val="18"/>
          <w:szCs w:val="18"/>
        </w:rPr>
      </w:pPr>
      <w:r>
        <w:rPr>
          <w:rFonts w:ascii="微软雅黑" w:eastAsia="微软雅黑" w:hAnsi="微软雅黑" w:cs="宋体" w:hint="eastAsia"/>
          <w:kern w:val="0"/>
          <w:szCs w:val="21"/>
        </w:rPr>
        <w:t>方正富邦基金管理有限公司</w:t>
      </w:r>
    </w:p>
    <w:p w:rsidR="0019121F" w:rsidRDefault="0071558C">
      <w:pPr>
        <w:widowControl/>
        <w:spacing w:line="375" w:lineRule="atLeast"/>
        <w:ind w:firstLine="420"/>
        <w:jc w:val="right"/>
        <w:rPr>
          <w:rFonts w:ascii="微软雅黑" w:eastAsia="微软雅黑" w:hAnsi="微软雅黑" w:cs="宋体"/>
          <w:kern w:val="0"/>
          <w:sz w:val="18"/>
          <w:szCs w:val="18"/>
        </w:rPr>
      </w:pPr>
      <w:r>
        <w:rPr>
          <w:rFonts w:ascii="微软雅黑" w:eastAsia="微软雅黑" w:hAnsi="微软雅黑" w:cs="宋体" w:hint="eastAsia"/>
          <w:kern w:val="0"/>
          <w:szCs w:val="21"/>
        </w:rPr>
        <w:t>二〇二四年</w:t>
      </w:r>
      <w:r>
        <w:rPr>
          <w:rFonts w:ascii="微软雅黑" w:eastAsia="微软雅黑" w:hAnsi="微软雅黑" w:cs="宋体" w:hint="eastAsia"/>
          <w:kern w:val="0"/>
          <w:szCs w:val="21"/>
        </w:rPr>
        <w:t>六</w:t>
      </w:r>
      <w:r>
        <w:rPr>
          <w:rFonts w:ascii="微软雅黑" w:eastAsia="微软雅黑" w:hAnsi="微软雅黑" w:cs="宋体" w:hint="eastAsia"/>
          <w:kern w:val="0"/>
          <w:szCs w:val="21"/>
        </w:rPr>
        <w:t>月二十一日</w:t>
      </w:r>
    </w:p>
    <w:sectPr w:rsidR="0019121F" w:rsidSect="0019121F">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g2Y2Y0OTk1ZDQ0MTk2ODlkZmUxNGQwY2I5ZTU3NTIifQ=="/>
  </w:docVars>
  <w:rsids>
    <w:rsidRoot w:val="00FF1B92"/>
    <w:rsid w:val="0000491A"/>
    <w:rsid w:val="0005491D"/>
    <w:rsid w:val="000979A4"/>
    <w:rsid w:val="00097A58"/>
    <w:rsid w:val="000B37CE"/>
    <w:rsid w:val="000D5DE5"/>
    <w:rsid w:val="000E2B29"/>
    <w:rsid w:val="00125B00"/>
    <w:rsid w:val="001766D8"/>
    <w:rsid w:val="0019121F"/>
    <w:rsid w:val="001B24F9"/>
    <w:rsid w:val="001B32EB"/>
    <w:rsid w:val="001B74D5"/>
    <w:rsid w:val="001C7173"/>
    <w:rsid w:val="001F36CD"/>
    <w:rsid w:val="001F597A"/>
    <w:rsid w:val="00214DA5"/>
    <w:rsid w:val="0022244B"/>
    <w:rsid w:val="002264E0"/>
    <w:rsid w:val="002304B8"/>
    <w:rsid w:val="0024186B"/>
    <w:rsid w:val="00244020"/>
    <w:rsid w:val="002656CF"/>
    <w:rsid w:val="00287FFC"/>
    <w:rsid w:val="002B22D9"/>
    <w:rsid w:val="002C6CC5"/>
    <w:rsid w:val="002E1B3B"/>
    <w:rsid w:val="003138F3"/>
    <w:rsid w:val="00351570"/>
    <w:rsid w:val="00357A06"/>
    <w:rsid w:val="00367D6F"/>
    <w:rsid w:val="00372B0A"/>
    <w:rsid w:val="003969B7"/>
    <w:rsid w:val="003A32B8"/>
    <w:rsid w:val="003A53F1"/>
    <w:rsid w:val="003C28D1"/>
    <w:rsid w:val="003C499F"/>
    <w:rsid w:val="003D0171"/>
    <w:rsid w:val="003F3DE4"/>
    <w:rsid w:val="00416807"/>
    <w:rsid w:val="00416F44"/>
    <w:rsid w:val="00420495"/>
    <w:rsid w:val="0042416B"/>
    <w:rsid w:val="00430057"/>
    <w:rsid w:val="00435264"/>
    <w:rsid w:val="00441414"/>
    <w:rsid w:val="00462510"/>
    <w:rsid w:val="00483412"/>
    <w:rsid w:val="00484C53"/>
    <w:rsid w:val="00493A8F"/>
    <w:rsid w:val="004C48DB"/>
    <w:rsid w:val="00520B12"/>
    <w:rsid w:val="00531BE8"/>
    <w:rsid w:val="00532686"/>
    <w:rsid w:val="0055394E"/>
    <w:rsid w:val="005821B8"/>
    <w:rsid w:val="00582C76"/>
    <w:rsid w:val="005E0DFC"/>
    <w:rsid w:val="005E2CE2"/>
    <w:rsid w:val="00603919"/>
    <w:rsid w:val="00633172"/>
    <w:rsid w:val="00650956"/>
    <w:rsid w:val="006654BC"/>
    <w:rsid w:val="00684B41"/>
    <w:rsid w:val="006A44DE"/>
    <w:rsid w:val="006A4D5E"/>
    <w:rsid w:val="006B3D78"/>
    <w:rsid w:val="006D4D08"/>
    <w:rsid w:val="00700223"/>
    <w:rsid w:val="00712E12"/>
    <w:rsid w:val="00713637"/>
    <w:rsid w:val="0071558C"/>
    <w:rsid w:val="00720A6C"/>
    <w:rsid w:val="007356DF"/>
    <w:rsid w:val="007428D7"/>
    <w:rsid w:val="00744806"/>
    <w:rsid w:val="00794B99"/>
    <w:rsid w:val="00795D93"/>
    <w:rsid w:val="007A04DC"/>
    <w:rsid w:val="007B1F7F"/>
    <w:rsid w:val="007D2B17"/>
    <w:rsid w:val="007E2599"/>
    <w:rsid w:val="007E3F4B"/>
    <w:rsid w:val="00820596"/>
    <w:rsid w:val="00826D20"/>
    <w:rsid w:val="00847029"/>
    <w:rsid w:val="00854F56"/>
    <w:rsid w:val="008619F2"/>
    <w:rsid w:val="00866C70"/>
    <w:rsid w:val="00892A26"/>
    <w:rsid w:val="008C606E"/>
    <w:rsid w:val="008D262F"/>
    <w:rsid w:val="008F207A"/>
    <w:rsid w:val="008F408D"/>
    <w:rsid w:val="008F5534"/>
    <w:rsid w:val="009101EF"/>
    <w:rsid w:val="0094116C"/>
    <w:rsid w:val="00941DBA"/>
    <w:rsid w:val="0095016F"/>
    <w:rsid w:val="0095154B"/>
    <w:rsid w:val="0095338F"/>
    <w:rsid w:val="0097307E"/>
    <w:rsid w:val="009932D0"/>
    <w:rsid w:val="009A4362"/>
    <w:rsid w:val="009B0306"/>
    <w:rsid w:val="009B11A0"/>
    <w:rsid w:val="009D5AE9"/>
    <w:rsid w:val="009E1F9F"/>
    <w:rsid w:val="009F17FC"/>
    <w:rsid w:val="00A0670D"/>
    <w:rsid w:val="00A15B72"/>
    <w:rsid w:val="00A31807"/>
    <w:rsid w:val="00A44EF9"/>
    <w:rsid w:val="00A62463"/>
    <w:rsid w:val="00AB774E"/>
    <w:rsid w:val="00AC36FF"/>
    <w:rsid w:val="00AC6B97"/>
    <w:rsid w:val="00AD4686"/>
    <w:rsid w:val="00AF3C23"/>
    <w:rsid w:val="00B2525A"/>
    <w:rsid w:val="00B34E63"/>
    <w:rsid w:val="00B53FB0"/>
    <w:rsid w:val="00B54EB8"/>
    <w:rsid w:val="00B93C78"/>
    <w:rsid w:val="00BA0FC1"/>
    <w:rsid w:val="00BB7CCD"/>
    <w:rsid w:val="00BC2F47"/>
    <w:rsid w:val="00BD1863"/>
    <w:rsid w:val="00BD4128"/>
    <w:rsid w:val="00BD452C"/>
    <w:rsid w:val="00C32AD6"/>
    <w:rsid w:val="00C40D66"/>
    <w:rsid w:val="00C60B6D"/>
    <w:rsid w:val="00C824B4"/>
    <w:rsid w:val="00C9003C"/>
    <w:rsid w:val="00CB1FFF"/>
    <w:rsid w:val="00CB5CEB"/>
    <w:rsid w:val="00CB7984"/>
    <w:rsid w:val="00CC1A23"/>
    <w:rsid w:val="00CD7C8E"/>
    <w:rsid w:val="00CF1E46"/>
    <w:rsid w:val="00D31E5D"/>
    <w:rsid w:val="00D4295A"/>
    <w:rsid w:val="00D615CB"/>
    <w:rsid w:val="00D820D5"/>
    <w:rsid w:val="00D82B1E"/>
    <w:rsid w:val="00D87A94"/>
    <w:rsid w:val="00D936FC"/>
    <w:rsid w:val="00D95966"/>
    <w:rsid w:val="00DA01CD"/>
    <w:rsid w:val="00DA2E67"/>
    <w:rsid w:val="00DC2892"/>
    <w:rsid w:val="00DC4A0C"/>
    <w:rsid w:val="00DD733F"/>
    <w:rsid w:val="00DE0C1A"/>
    <w:rsid w:val="00DE2442"/>
    <w:rsid w:val="00DE3537"/>
    <w:rsid w:val="00DE401A"/>
    <w:rsid w:val="00DE532D"/>
    <w:rsid w:val="00DE5D87"/>
    <w:rsid w:val="00E00FDF"/>
    <w:rsid w:val="00E02CB8"/>
    <w:rsid w:val="00E129CE"/>
    <w:rsid w:val="00E20C6D"/>
    <w:rsid w:val="00E265AD"/>
    <w:rsid w:val="00E31713"/>
    <w:rsid w:val="00E37EAA"/>
    <w:rsid w:val="00E4603E"/>
    <w:rsid w:val="00E520F8"/>
    <w:rsid w:val="00E57159"/>
    <w:rsid w:val="00E8690B"/>
    <w:rsid w:val="00EB32EB"/>
    <w:rsid w:val="00EB517C"/>
    <w:rsid w:val="00EC39E7"/>
    <w:rsid w:val="00EC501A"/>
    <w:rsid w:val="00EE0C79"/>
    <w:rsid w:val="00EE3398"/>
    <w:rsid w:val="00EF4ADC"/>
    <w:rsid w:val="00EF4F2A"/>
    <w:rsid w:val="00EF7235"/>
    <w:rsid w:val="00F147A2"/>
    <w:rsid w:val="00F47077"/>
    <w:rsid w:val="00F508DA"/>
    <w:rsid w:val="00F50B6F"/>
    <w:rsid w:val="00F74B80"/>
    <w:rsid w:val="00F80C33"/>
    <w:rsid w:val="00F811A4"/>
    <w:rsid w:val="00F841E3"/>
    <w:rsid w:val="00F8784A"/>
    <w:rsid w:val="00FA1DFF"/>
    <w:rsid w:val="00FA55FE"/>
    <w:rsid w:val="00FF1B92"/>
    <w:rsid w:val="0C942AAF"/>
    <w:rsid w:val="12902616"/>
    <w:rsid w:val="1965348F"/>
    <w:rsid w:val="1E434436"/>
    <w:rsid w:val="1F337E24"/>
    <w:rsid w:val="35812501"/>
    <w:rsid w:val="50727AED"/>
    <w:rsid w:val="53AE40CE"/>
    <w:rsid w:val="5B714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1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9121F"/>
    <w:pPr>
      <w:jc w:val="left"/>
    </w:pPr>
  </w:style>
  <w:style w:type="paragraph" w:styleId="a4">
    <w:name w:val="Balloon Text"/>
    <w:basedOn w:val="a"/>
    <w:link w:val="Char0"/>
    <w:uiPriority w:val="99"/>
    <w:semiHidden/>
    <w:unhideWhenUsed/>
    <w:rsid w:val="0019121F"/>
    <w:rPr>
      <w:sz w:val="18"/>
      <w:szCs w:val="18"/>
    </w:rPr>
  </w:style>
  <w:style w:type="paragraph" w:styleId="a5">
    <w:name w:val="footer"/>
    <w:basedOn w:val="a"/>
    <w:link w:val="Char1"/>
    <w:uiPriority w:val="99"/>
    <w:unhideWhenUsed/>
    <w:rsid w:val="0019121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9121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9121F"/>
    <w:pPr>
      <w:widowControl/>
      <w:jc w:val="left"/>
    </w:pPr>
    <w:rPr>
      <w:rFonts w:ascii="微软雅黑" w:eastAsia="微软雅黑" w:hAnsi="微软雅黑" w:cs="宋体"/>
      <w:kern w:val="0"/>
      <w:sz w:val="24"/>
      <w:szCs w:val="24"/>
    </w:rPr>
  </w:style>
  <w:style w:type="paragraph" w:styleId="a8">
    <w:name w:val="annotation subject"/>
    <w:basedOn w:val="a3"/>
    <w:next w:val="a3"/>
    <w:link w:val="Char3"/>
    <w:uiPriority w:val="99"/>
    <w:semiHidden/>
    <w:unhideWhenUsed/>
    <w:qFormat/>
    <w:rsid w:val="0019121F"/>
    <w:rPr>
      <w:b/>
      <w:bCs/>
    </w:rPr>
  </w:style>
  <w:style w:type="character" w:styleId="a9">
    <w:name w:val="annotation reference"/>
    <w:basedOn w:val="a0"/>
    <w:uiPriority w:val="99"/>
    <w:semiHidden/>
    <w:unhideWhenUsed/>
    <w:qFormat/>
    <w:rsid w:val="0019121F"/>
    <w:rPr>
      <w:sz w:val="21"/>
      <w:szCs w:val="21"/>
    </w:rPr>
  </w:style>
  <w:style w:type="character" w:customStyle="1" w:styleId="Char2">
    <w:name w:val="页眉 Char"/>
    <w:basedOn w:val="a0"/>
    <w:link w:val="a6"/>
    <w:uiPriority w:val="99"/>
    <w:qFormat/>
    <w:rsid w:val="0019121F"/>
    <w:rPr>
      <w:sz w:val="18"/>
      <w:szCs w:val="18"/>
    </w:rPr>
  </w:style>
  <w:style w:type="character" w:customStyle="1" w:styleId="Char1">
    <w:name w:val="页脚 Char"/>
    <w:basedOn w:val="a0"/>
    <w:link w:val="a5"/>
    <w:uiPriority w:val="99"/>
    <w:qFormat/>
    <w:rsid w:val="0019121F"/>
    <w:rPr>
      <w:sz w:val="18"/>
      <w:szCs w:val="18"/>
    </w:rPr>
  </w:style>
  <w:style w:type="character" w:customStyle="1" w:styleId="Char">
    <w:name w:val="批注文字 Char"/>
    <w:basedOn w:val="a0"/>
    <w:link w:val="a3"/>
    <w:uiPriority w:val="99"/>
    <w:semiHidden/>
    <w:qFormat/>
    <w:rsid w:val="0019121F"/>
  </w:style>
  <w:style w:type="character" w:customStyle="1" w:styleId="Char3">
    <w:name w:val="批注主题 Char"/>
    <w:basedOn w:val="Char"/>
    <w:link w:val="a8"/>
    <w:uiPriority w:val="99"/>
    <w:semiHidden/>
    <w:rsid w:val="0019121F"/>
    <w:rPr>
      <w:b/>
      <w:bCs/>
    </w:rPr>
  </w:style>
  <w:style w:type="character" w:customStyle="1" w:styleId="Char0">
    <w:name w:val="批注框文本 Char"/>
    <w:basedOn w:val="a0"/>
    <w:link w:val="a4"/>
    <w:uiPriority w:val="99"/>
    <w:semiHidden/>
    <w:qFormat/>
    <w:rsid w:val="0019121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0BCA-8DED-40A7-9F38-62A80645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1300</Characters>
  <Application>Microsoft Office Word</Application>
  <DocSecurity>4</DocSecurity>
  <Lines>10</Lines>
  <Paragraphs>3</Paragraphs>
  <ScaleCrop>false</ScaleCrop>
  <Company>Microsoft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王宏微</dc:creator>
  <cp:lastModifiedBy>ZHONGM</cp:lastModifiedBy>
  <cp:revision>2</cp:revision>
  <cp:lastPrinted>2018-03-27T08:11:00Z</cp:lastPrinted>
  <dcterms:created xsi:type="dcterms:W3CDTF">2024-06-20T16:01:00Z</dcterms:created>
  <dcterms:modified xsi:type="dcterms:W3CDTF">2024-06-20T16:01:00Z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7446DFA825F040F5BC512520173D916E_13</vt:lpwstr>
  </property>
</Properties>
</file>