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EF" w:rsidRDefault="00E73C07">
      <w:pPr>
        <w:widowControl/>
        <w:shd w:val="clear" w:color="auto" w:fill="FFFFFF"/>
        <w:spacing w:before="240"/>
        <w:jc w:val="center"/>
        <w:rPr>
          <w:rFonts w:ascii="宋体" w:eastAsia="宋体" w:hAnsi="宋体" w:cs="宋体"/>
          <w:b/>
          <w:bCs/>
          <w:color w:val="333333"/>
          <w:kern w:val="0"/>
          <w:sz w:val="30"/>
          <w:szCs w:val="30"/>
        </w:rPr>
      </w:pPr>
      <w:r>
        <w:rPr>
          <w:rFonts w:ascii="宋体" w:eastAsia="宋体" w:hAnsi="宋体" w:cs="宋体" w:hint="eastAsia"/>
          <w:b/>
          <w:bCs/>
          <w:color w:val="333333"/>
          <w:kern w:val="0"/>
          <w:sz w:val="30"/>
          <w:szCs w:val="30"/>
        </w:rPr>
        <w:t>关于人保优势产业混合型证券投资基金基金份额持有人大会表决结果暨决议生效的公告</w:t>
      </w:r>
    </w:p>
    <w:p w:rsidR="00D669EF" w:rsidRDefault="00E73C07">
      <w:pPr>
        <w:widowControl/>
        <w:shd w:val="clear" w:color="auto" w:fill="FFFFFF"/>
        <w:spacing w:before="480" w:line="420" w:lineRule="atLeas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依据《中华人民共和国证券投资基金法》、《公开募集证券投资基金运作管理办法》和《人保优势产业混合型证券投资基金基金合同》（以下简称“《基金合同》”）的有关规定，现将人保优势产业混合型证券投资基金（以下简称“本基金”）基金份额持有人大会（以下简称“本次基金份额持有人大会”）的决议及相关事项公告如下：</w:t>
      </w:r>
    </w:p>
    <w:p w:rsidR="00D669EF" w:rsidRPr="00E73C07" w:rsidRDefault="00D669EF">
      <w:pPr>
        <w:widowControl/>
        <w:shd w:val="clear" w:color="auto" w:fill="FFFFFF"/>
        <w:spacing w:before="480"/>
        <w:ind w:firstLineChars="200" w:firstLine="200"/>
        <w:jc w:val="left"/>
        <w:rPr>
          <w:rFonts w:ascii="宋体" w:eastAsia="宋体" w:hAnsi="宋体" w:cs="宋体"/>
          <w:color w:val="333333"/>
          <w:kern w:val="0"/>
          <w:sz w:val="10"/>
          <w:szCs w:val="10"/>
        </w:rPr>
      </w:pPr>
    </w:p>
    <w:p w:rsidR="00D669EF" w:rsidRDefault="00E73C07">
      <w:pPr>
        <w:widowControl/>
        <w:shd w:val="clear" w:color="auto" w:fill="FFFFFF"/>
        <w:jc w:val="left"/>
        <w:outlineLvl w:val="4"/>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一、本次基金份额持有人大会会议情况</w:t>
      </w:r>
    </w:p>
    <w:p w:rsidR="00D669EF" w:rsidRDefault="00E73C07">
      <w:pPr>
        <w:widowControl/>
        <w:shd w:val="clear" w:color="auto" w:fill="FFFFFF"/>
        <w:spacing w:before="240" w:line="420" w:lineRule="atLeas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中国人保</w:t>
      </w:r>
      <w:r>
        <w:rPr>
          <w:rFonts w:ascii="宋体" w:eastAsia="宋体" w:hAnsi="宋体" w:cs="宋体"/>
          <w:color w:val="333333"/>
          <w:kern w:val="0"/>
          <w:sz w:val="24"/>
          <w:szCs w:val="24"/>
        </w:rPr>
        <w:t>资产管理有限公司</w:t>
      </w:r>
      <w:r>
        <w:rPr>
          <w:rFonts w:ascii="宋体" w:eastAsia="宋体" w:hAnsi="宋体" w:cs="宋体" w:hint="eastAsia"/>
          <w:color w:val="333333"/>
          <w:kern w:val="0"/>
          <w:sz w:val="24"/>
          <w:szCs w:val="24"/>
        </w:rPr>
        <w:t>（以下简称“基金管理人”）以通讯方式召开了人保优势产业混合型证券投资基金基金份额持有人大会，大会投票表决起止时间为自202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5</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日起至202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日17:00止（</w:t>
      </w:r>
      <w:r>
        <w:rPr>
          <w:rFonts w:ascii="Times New Roman" w:hAnsi="Times New Roman" w:hint="eastAsia"/>
          <w:sz w:val="24"/>
        </w:rPr>
        <w:t>以收到表决票时间为准</w:t>
      </w:r>
      <w:r>
        <w:rPr>
          <w:rFonts w:ascii="宋体" w:eastAsia="宋体" w:hAnsi="宋体" w:cs="宋体" w:hint="eastAsia"/>
          <w:color w:val="333333"/>
          <w:kern w:val="0"/>
          <w:sz w:val="24"/>
          <w:szCs w:val="24"/>
        </w:rPr>
        <w:t>）。</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7</w:t>
      </w:r>
      <w:r>
        <w:rPr>
          <w:rFonts w:ascii="宋体" w:eastAsia="宋体" w:hAnsi="宋体" w:cs="宋体" w:hint="eastAsia"/>
          <w:color w:val="333333"/>
          <w:kern w:val="0"/>
          <w:sz w:val="24"/>
          <w:szCs w:val="24"/>
        </w:rPr>
        <w:t>日，在本基金的基金托管人中国</w:t>
      </w:r>
      <w:r>
        <w:rPr>
          <w:rFonts w:ascii="宋体" w:eastAsia="宋体" w:hAnsi="宋体" w:cs="宋体"/>
          <w:color w:val="333333"/>
          <w:kern w:val="0"/>
          <w:sz w:val="24"/>
          <w:szCs w:val="24"/>
        </w:rPr>
        <w:t>建设银行</w:t>
      </w:r>
      <w:r>
        <w:rPr>
          <w:rFonts w:ascii="宋体" w:eastAsia="宋体" w:hAnsi="宋体" w:cs="宋体" w:hint="eastAsia"/>
          <w:color w:val="333333"/>
          <w:kern w:val="0"/>
          <w:sz w:val="24"/>
          <w:szCs w:val="24"/>
        </w:rPr>
        <w:t>股份有限公司授权代表的监督下，基金管理人授权的两名监督员对本次基金份额持有人大会表决进行了计票，</w:t>
      </w:r>
      <w:r>
        <w:rPr>
          <w:rFonts w:ascii="Times New Roman" w:hAnsi="Times New Roman" w:hint="eastAsia"/>
          <w:sz w:val="24"/>
        </w:rPr>
        <w:t>上海市东方公证处</w:t>
      </w:r>
      <w:r>
        <w:rPr>
          <w:rFonts w:ascii="宋体" w:eastAsia="宋体" w:hAnsi="宋体" w:cs="宋体" w:hint="eastAsia"/>
          <w:color w:val="333333"/>
          <w:kern w:val="0"/>
          <w:sz w:val="24"/>
          <w:szCs w:val="24"/>
        </w:rPr>
        <w:t>对计票过程及结果进行了公证，上海市锦天城律师事务所对计票过程进行了见证。本次基金份额持有人大会的权益登记日为202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5</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日，即2</w:t>
      </w:r>
      <w:r>
        <w:rPr>
          <w:rFonts w:ascii="宋体" w:eastAsia="宋体" w:hAnsi="宋体" w:cs="宋体"/>
          <w:color w:val="333333"/>
          <w:kern w:val="0"/>
          <w:sz w:val="24"/>
          <w:szCs w:val="24"/>
        </w:rPr>
        <w:t>024</w:t>
      </w:r>
      <w:r>
        <w:rPr>
          <w:rFonts w:ascii="宋体" w:eastAsia="宋体" w:hAnsi="宋体" w:cs="宋体" w:hint="eastAsia"/>
          <w:color w:val="333333"/>
          <w:kern w:val="0"/>
          <w:sz w:val="24"/>
          <w:szCs w:val="24"/>
        </w:rPr>
        <w:t>年5月1</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日交易时间结束后，在本基金登记机构登记在册的本基金全体基金份额持有人均有权参加本次基金份额持有人大会并投票表决。本次基金份额持有人大会计票结果如下：</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参加本次基金份额持有人大会表决的基金份额持有人（或其代理人）所代表的基金份额共计</w:t>
      </w:r>
      <w:r w:rsidRPr="00E73C07">
        <w:rPr>
          <w:rFonts w:asciiTheme="minorEastAsia" w:hAnsiTheme="minorEastAsia" w:cs="Arial"/>
          <w:color w:val="000000"/>
          <w:kern w:val="0"/>
          <w:sz w:val="24"/>
          <w:szCs w:val="24"/>
        </w:rPr>
        <w:t>10,236,906.93</w:t>
      </w:r>
      <w:r>
        <w:rPr>
          <w:rFonts w:ascii="宋体" w:eastAsia="宋体" w:hAnsi="宋体" w:cs="宋体" w:hint="eastAsia"/>
          <w:color w:val="333333"/>
          <w:kern w:val="0"/>
          <w:sz w:val="24"/>
          <w:szCs w:val="24"/>
        </w:rPr>
        <w:t>份，占权益登记日本基金总份额</w:t>
      </w:r>
      <w:r w:rsidRPr="00E73C07">
        <w:rPr>
          <w:rFonts w:asciiTheme="minorEastAsia" w:hAnsiTheme="minorEastAsia" w:cs="Arial"/>
          <w:color w:val="000000"/>
          <w:kern w:val="0"/>
          <w:sz w:val="24"/>
          <w:szCs w:val="24"/>
        </w:rPr>
        <w:t>10,961,368</w:t>
      </w:r>
      <w:r>
        <w:rPr>
          <w:rFonts w:ascii="宋体" w:eastAsia="宋体" w:hAnsi="宋体" w:cs="宋体" w:hint="eastAsia"/>
          <w:color w:val="333333"/>
          <w:kern w:val="0"/>
          <w:sz w:val="24"/>
          <w:szCs w:val="24"/>
        </w:rPr>
        <w:t>份的</w:t>
      </w:r>
      <w:r>
        <w:rPr>
          <w:rFonts w:asciiTheme="minorEastAsia" w:hAnsiTheme="minorEastAsia" w:cs="Arial" w:hint="eastAsia"/>
          <w:color w:val="000000"/>
          <w:kern w:val="0"/>
          <w:sz w:val="24"/>
          <w:szCs w:val="24"/>
        </w:rPr>
        <w:t xml:space="preserve"> </w:t>
      </w:r>
      <w:r w:rsidRPr="00E73C07">
        <w:rPr>
          <w:rFonts w:asciiTheme="minorEastAsia" w:hAnsiTheme="minorEastAsia" w:cs="Arial"/>
          <w:color w:val="000000"/>
          <w:kern w:val="0"/>
          <w:sz w:val="24"/>
          <w:szCs w:val="24"/>
        </w:rPr>
        <w:t>93.39</w:t>
      </w:r>
      <w:r>
        <w:rPr>
          <w:rFonts w:asciiTheme="minorEastAsia" w:hAnsiTheme="minorEastAsia" w:cs="Arial" w:hint="eastAsia"/>
          <w:color w:val="000000"/>
          <w:kern w:val="0"/>
          <w:sz w:val="24"/>
          <w:szCs w:val="24"/>
        </w:rPr>
        <w:t>%</w:t>
      </w:r>
      <w:r>
        <w:rPr>
          <w:rFonts w:ascii="宋体" w:eastAsia="宋体" w:hAnsi="宋体" w:cs="宋体" w:hint="eastAsia"/>
          <w:color w:val="333333"/>
          <w:kern w:val="0"/>
          <w:sz w:val="24"/>
          <w:szCs w:val="24"/>
        </w:rPr>
        <w:t>。</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上述参加本次基金份额持有人大会的基金份额持有人（或其代理人）所代表的本基金基金份额占权益登记日基金总份额的二分之一（含二分之一）以上，达到持有人大会召开条件，符合《中华人民共和国证券投资基金法》、《公开募集证券投资基金运作管理办法》和《基金合同》的有关规定。</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本次基金份额持有人大会审议了基金管理人于202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5</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日在《</w:t>
      </w:r>
      <w:r>
        <w:rPr>
          <w:rFonts w:ascii="Times New Roman" w:hAnsi="Times New Roman" w:hint="eastAsia"/>
          <w:bCs/>
          <w:color w:val="000000"/>
          <w:sz w:val="24"/>
        </w:rPr>
        <w:t>上海证券</w:t>
      </w:r>
      <w:r>
        <w:rPr>
          <w:rFonts w:ascii="Times New Roman" w:hAnsi="Times New Roman"/>
          <w:bCs/>
          <w:color w:val="000000"/>
          <w:sz w:val="24"/>
        </w:rPr>
        <w:t>报</w:t>
      </w:r>
      <w:r>
        <w:rPr>
          <w:rFonts w:ascii="宋体" w:eastAsia="宋体" w:hAnsi="宋体" w:cs="宋体" w:hint="eastAsia"/>
          <w:color w:val="333333"/>
          <w:kern w:val="0"/>
          <w:sz w:val="24"/>
          <w:szCs w:val="24"/>
        </w:rPr>
        <w:t>》及基金管理人网站（</w:t>
      </w:r>
      <w:r>
        <w:rPr>
          <w:rFonts w:ascii="Times New Roman" w:hAnsi="Times New Roman"/>
          <w:sz w:val="24"/>
        </w:rPr>
        <w:t>http://fund.piccamc.com</w:t>
      </w:r>
      <w:r>
        <w:rPr>
          <w:rFonts w:ascii="宋体" w:eastAsia="宋体" w:hAnsi="宋体" w:cs="宋体" w:hint="eastAsia"/>
          <w:color w:val="333333"/>
          <w:kern w:val="0"/>
          <w:sz w:val="24"/>
          <w:szCs w:val="24"/>
        </w:rPr>
        <w:t>）刊登的《关于以通讯方式召开人保优势产业混合型证券投资基金基金份额持有人大会的公告》之附件《</w:t>
      </w:r>
      <w:r>
        <w:rPr>
          <w:rFonts w:ascii="Times New Roman" w:hAnsi="Times New Roman" w:hint="eastAsia"/>
          <w:sz w:val="24"/>
        </w:rPr>
        <w:t>关于人保优势产业混合型证券投资基金终止基金合同的议案</w:t>
      </w:r>
      <w:r>
        <w:rPr>
          <w:rFonts w:ascii="宋体" w:eastAsia="宋体" w:hAnsi="宋体" w:cs="宋体" w:hint="eastAsia"/>
          <w:color w:val="333333"/>
          <w:kern w:val="0"/>
          <w:sz w:val="24"/>
          <w:szCs w:val="24"/>
        </w:rPr>
        <w:t>》（以下简称“本次会议议案”），并由参加本次基金份额持有人大会的基金份额持有人（或其代理人）对本次会议议案进行表决，表决结果为：</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有效表决票所代表的本基金基金份额总数为</w:t>
      </w:r>
      <w:r w:rsidRPr="00E73C07">
        <w:rPr>
          <w:rFonts w:asciiTheme="minorEastAsia" w:hAnsiTheme="minorEastAsia" w:cs="Arial"/>
          <w:color w:val="000000"/>
          <w:kern w:val="0"/>
          <w:sz w:val="24"/>
          <w:szCs w:val="24"/>
        </w:rPr>
        <w:t>10,236,906.93</w:t>
      </w:r>
      <w:r>
        <w:rPr>
          <w:rFonts w:ascii="宋体" w:eastAsia="宋体" w:hAnsi="宋体" w:cs="宋体" w:hint="eastAsia"/>
          <w:color w:val="333333"/>
          <w:kern w:val="0"/>
          <w:sz w:val="24"/>
          <w:szCs w:val="24"/>
        </w:rPr>
        <w:t>份，其中，同意票所代表的本基金基金份额总数为</w:t>
      </w:r>
      <w:r w:rsidRPr="00E73C07">
        <w:rPr>
          <w:rFonts w:asciiTheme="minorEastAsia" w:hAnsiTheme="minorEastAsia" w:cs="Arial"/>
          <w:color w:val="000000"/>
          <w:kern w:val="0"/>
          <w:sz w:val="24"/>
          <w:szCs w:val="24"/>
        </w:rPr>
        <w:t>10,236,906.93</w:t>
      </w:r>
      <w:r>
        <w:rPr>
          <w:rFonts w:ascii="宋体" w:eastAsia="宋体" w:hAnsi="宋体" w:cs="宋体" w:hint="eastAsia"/>
          <w:color w:val="333333"/>
          <w:kern w:val="0"/>
          <w:sz w:val="24"/>
          <w:szCs w:val="24"/>
        </w:rPr>
        <w:t>份，反对票所代表的本基金基金份额总数为0份，弃权票所代表的本基金基金份额总数为0份。同意票所代表的本基金基金份额占提交有效表决票的基金份额持有人（或其代理人）所代表的基金份额总数的100%。</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同意本次会议议案的基金份额已达到提交有效表决票的本基金基金份额持有人或其代理人所持表决权的三分之二以上，符合《中华人民共和国证券投资基金法》、《公开募集证券投资基金运作管理办法》和《基金合同》的有关规定，本次会议议案获得通过。</w:t>
      </w:r>
    </w:p>
    <w:p w:rsidR="00D669EF" w:rsidRDefault="00E73C07">
      <w:pPr>
        <w:widowControl/>
        <w:shd w:val="clear" w:color="auto" w:fill="FFFFFF"/>
        <w:spacing w:before="240" w:line="420" w:lineRule="atLeast"/>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本次基金份额持有人大会相关费用包括公证费</w:t>
      </w:r>
      <w:r w:rsidR="00256FE3">
        <w:rPr>
          <w:rFonts w:ascii="宋体" w:eastAsia="宋体" w:hAnsi="宋体" w:cs="宋体"/>
          <w:color w:val="333333"/>
          <w:kern w:val="0"/>
          <w:sz w:val="24"/>
          <w:szCs w:val="24"/>
        </w:rPr>
        <w:t>10</w:t>
      </w:r>
      <w:r>
        <w:rPr>
          <w:rFonts w:ascii="宋体" w:eastAsia="宋体" w:hAnsi="宋体" w:cs="宋体" w:hint="eastAsia"/>
          <w:color w:val="333333"/>
          <w:kern w:val="0"/>
          <w:sz w:val="24"/>
          <w:szCs w:val="24"/>
        </w:rPr>
        <w:t>,000元，律师费3</w:t>
      </w:r>
      <w:r>
        <w:rPr>
          <w:rFonts w:ascii="宋体" w:eastAsia="宋体" w:hAnsi="宋体" w:cs="宋体"/>
          <w:color w:val="333333"/>
          <w:kern w:val="0"/>
          <w:sz w:val="24"/>
          <w:szCs w:val="24"/>
        </w:rPr>
        <w:t>0,000</w:t>
      </w:r>
      <w:r>
        <w:rPr>
          <w:rFonts w:ascii="宋体" w:eastAsia="宋体" w:hAnsi="宋体" w:cs="宋体" w:hint="eastAsia"/>
          <w:color w:val="333333"/>
          <w:kern w:val="0"/>
          <w:sz w:val="24"/>
          <w:szCs w:val="24"/>
        </w:rPr>
        <w:t>元，由基金管理人承担。</w:t>
      </w:r>
    </w:p>
    <w:p w:rsidR="00D669EF" w:rsidRDefault="00E73C07">
      <w:pPr>
        <w:widowControl/>
        <w:shd w:val="clear" w:color="auto" w:fill="FFFFFF"/>
        <w:spacing w:before="450"/>
        <w:jc w:val="left"/>
        <w:outlineLvl w:val="4"/>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二、本次基金份额持有人大会决议生效情况</w:t>
      </w:r>
    </w:p>
    <w:p w:rsidR="00D669EF" w:rsidRDefault="00E73C07">
      <w:pPr>
        <w:widowControl/>
        <w:shd w:val="clear" w:color="auto" w:fill="FFFFFF"/>
        <w:spacing w:before="240" w:line="420" w:lineRule="atLeas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根据《公开募集证券投资基金运作管理办法》的规定及《基金合同》的约定，基金份额持有人大会决定的事项自表决通过之日起生效。本次基金份额持有人大会于202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7</w:t>
      </w:r>
      <w:r>
        <w:rPr>
          <w:rFonts w:ascii="宋体" w:eastAsia="宋体" w:hAnsi="宋体" w:cs="宋体" w:hint="eastAsia"/>
          <w:color w:val="333333"/>
          <w:kern w:val="0"/>
          <w:sz w:val="24"/>
          <w:szCs w:val="24"/>
        </w:rPr>
        <w:t>日表决通过了本次会议议案，本次基金份额持有人大会决议自该日起生效，基金管理人将自本次基金份额持有人大会决议通过之日起五日内将表决通过的事项报中国证券监督管理委员会（以下简称“中国证监会”）备案。</w:t>
      </w:r>
    </w:p>
    <w:p w:rsidR="00D669EF" w:rsidRDefault="00D669EF">
      <w:pPr>
        <w:widowControl/>
        <w:shd w:val="clear" w:color="auto" w:fill="FFFFFF"/>
        <w:spacing w:before="240" w:line="420" w:lineRule="atLeast"/>
        <w:jc w:val="left"/>
        <w:rPr>
          <w:rFonts w:ascii="宋体" w:eastAsia="宋体" w:hAnsi="宋体" w:cs="宋体"/>
          <w:color w:val="333333"/>
          <w:kern w:val="0"/>
          <w:sz w:val="24"/>
          <w:szCs w:val="24"/>
        </w:rPr>
      </w:pPr>
    </w:p>
    <w:p w:rsidR="00D669EF" w:rsidRDefault="00E73C07">
      <w:pPr>
        <w:widowControl/>
        <w:shd w:val="clear" w:color="auto" w:fill="FFFFFF"/>
        <w:jc w:val="left"/>
        <w:outlineLvl w:val="4"/>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三、本次基金份额持有人大会决议生效的后续安排</w:t>
      </w:r>
    </w:p>
    <w:p w:rsidR="00D669EF" w:rsidRDefault="00E73C07">
      <w:pPr>
        <w:widowControl/>
        <w:shd w:val="clear" w:color="auto" w:fill="FFFFFF"/>
        <w:spacing w:before="240" w:line="420" w:lineRule="atLeas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本次基金份额持有人大会决议生效公告日即202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月1</w:t>
      </w: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日为本基金最后运作日，本基金将从202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月2</w:t>
      </w:r>
      <w:r>
        <w:rPr>
          <w:rFonts w:ascii="宋体" w:eastAsia="宋体" w:hAnsi="宋体" w:cs="宋体"/>
          <w:color w:val="333333"/>
          <w:kern w:val="0"/>
          <w:sz w:val="24"/>
          <w:szCs w:val="24"/>
        </w:rPr>
        <w:t>0</w:t>
      </w:r>
      <w:r>
        <w:rPr>
          <w:rFonts w:ascii="宋体" w:eastAsia="宋体" w:hAnsi="宋体" w:cs="宋体" w:hint="eastAsia"/>
          <w:color w:val="333333"/>
          <w:kern w:val="0"/>
          <w:sz w:val="24"/>
          <w:szCs w:val="24"/>
        </w:rPr>
        <w:t>日起进入清算程序，基金管理人不再接受投资者提出的申购、赎回、转换、定期定额投资等业务的申请。本基金进入清算程序后，停止收取基金管理费、基金托管费、C类基金份额销售服务费。基金管理</w:t>
      </w:r>
      <w:r>
        <w:rPr>
          <w:rFonts w:ascii="宋体" w:eastAsia="宋体" w:hAnsi="宋体" w:cs="宋体" w:hint="eastAsia"/>
          <w:color w:val="333333"/>
          <w:kern w:val="0"/>
          <w:sz w:val="24"/>
          <w:szCs w:val="24"/>
        </w:rPr>
        <w:lastRenderedPageBreak/>
        <w:t>人将按照《基金合同》约定，组织成立基金财产清算小组履行基金财产清算程序，并按照规定进行相关公告。</w:t>
      </w:r>
      <w:bookmarkStart w:id="0" w:name="_GoBack"/>
      <w:bookmarkEnd w:id="0"/>
    </w:p>
    <w:p w:rsidR="00D669EF" w:rsidRDefault="00E73C07">
      <w:pPr>
        <w:widowControl/>
        <w:shd w:val="clear" w:color="auto" w:fill="FFFFFF"/>
        <w:spacing w:before="540"/>
        <w:jc w:val="left"/>
        <w:outlineLvl w:val="4"/>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四、备查文件</w:t>
      </w:r>
    </w:p>
    <w:p w:rsidR="00D669EF" w:rsidRDefault="00E73C07">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1、《关于以通讯方式召开人保优势产业混合型证券投资基金基金份额持有人大会的公告》</w:t>
      </w:r>
    </w:p>
    <w:p w:rsidR="00D669EF" w:rsidRDefault="00E73C07">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2、《关于以通讯方式召开人保优势产业混合型证券投资基金基金份额持有人大会的第一次提示性公告》</w:t>
      </w:r>
    </w:p>
    <w:p w:rsidR="00D669EF" w:rsidRDefault="00E73C07">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3、《关于以通讯方式召开人保优势产业混合型证券投资基金基金份额持有人大会的第二次提示性公告》</w:t>
      </w:r>
    </w:p>
    <w:p w:rsidR="00D669EF" w:rsidRDefault="00E73C07">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r>
        <w:rPr>
          <w:rFonts w:ascii="Times New Roman" w:hAnsi="Times New Roman" w:hint="eastAsia"/>
          <w:sz w:val="24"/>
        </w:rPr>
        <w:t>上海市东方公证处</w:t>
      </w:r>
      <w:r>
        <w:rPr>
          <w:rFonts w:ascii="宋体" w:eastAsia="宋体" w:hAnsi="宋体" w:cs="宋体" w:hint="eastAsia"/>
          <w:color w:val="333333"/>
          <w:kern w:val="0"/>
          <w:sz w:val="24"/>
          <w:szCs w:val="24"/>
        </w:rPr>
        <w:t>出具的公证书</w:t>
      </w:r>
    </w:p>
    <w:p w:rsidR="00D669EF" w:rsidRDefault="00E73C07">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5、上海市锦天城律师事务所出具的法律意见书</w:t>
      </w:r>
    </w:p>
    <w:p w:rsidR="00D669EF" w:rsidRDefault="00E73C07">
      <w:pPr>
        <w:widowControl/>
        <w:shd w:val="clear" w:color="auto" w:fill="FFFFFF"/>
        <w:spacing w:before="555" w:line="420" w:lineRule="atLeas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特此公告。</w:t>
      </w:r>
    </w:p>
    <w:p w:rsidR="00D669EF" w:rsidRDefault="00E73C07">
      <w:pPr>
        <w:widowControl/>
        <w:shd w:val="clear" w:color="auto" w:fill="FFFFFF"/>
        <w:spacing w:before="750" w:line="420" w:lineRule="atLeast"/>
        <w:jc w:val="right"/>
        <w:rPr>
          <w:rFonts w:ascii="宋体" w:eastAsia="宋体" w:hAnsi="宋体" w:cs="宋体"/>
          <w:color w:val="333333"/>
          <w:kern w:val="0"/>
          <w:sz w:val="24"/>
          <w:szCs w:val="24"/>
        </w:rPr>
      </w:pPr>
      <w:r>
        <w:rPr>
          <w:rFonts w:ascii="宋体" w:eastAsia="宋体" w:hAnsi="宋体" w:cs="宋体" w:hint="eastAsia"/>
          <w:color w:val="333333"/>
          <w:kern w:val="0"/>
          <w:sz w:val="24"/>
          <w:szCs w:val="24"/>
        </w:rPr>
        <w:t>中国</w:t>
      </w:r>
      <w:r>
        <w:rPr>
          <w:rFonts w:ascii="宋体" w:eastAsia="宋体" w:hAnsi="宋体" w:cs="宋体"/>
          <w:color w:val="333333"/>
          <w:kern w:val="0"/>
          <w:sz w:val="24"/>
          <w:szCs w:val="24"/>
        </w:rPr>
        <w:t>人保资产</w:t>
      </w:r>
      <w:r>
        <w:rPr>
          <w:rFonts w:ascii="宋体" w:eastAsia="宋体" w:hAnsi="宋体" w:cs="宋体" w:hint="eastAsia"/>
          <w:color w:val="333333"/>
          <w:kern w:val="0"/>
          <w:sz w:val="24"/>
          <w:szCs w:val="24"/>
        </w:rPr>
        <w:t>管理有限公司</w:t>
      </w:r>
    </w:p>
    <w:p w:rsidR="00640681" w:rsidRDefault="00E73C07" w:rsidP="00E73C07">
      <w:pPr>
        <w:widowControl/>
        <w:shd w:val="clear" w:color="auto" w:fill="FFFFFF"/>
        <w:spacing w:before="240" w:line="420" w:lineRule="atLeast"/>
        <w:jc w:val="right"/>
        <w:rPr>
          <w:rFonts w:ascii="宋体" w:eastAsia="宋体" w:hAnsi="宋体" w:cs="宋体"/>
          <w:color w:val="333333"/>
          <w:kern w:val="0"/>
          <w:sz w:val="24"/>
          <w:szCs w:val="24"/>
        </w:rPr>
      </w:pPr>
      <w:r>
        <w:rPr>
          <w:rFonts w:ascii="宋体" w:eastAsia="宋体" w:hAnsi="宋体" w:cs="宋体" w:hint="eastAsia"/>
          <w:color w:val="333333"/>
          <w:kern w:val="0"/>
          <w:sz w:val="24"/>
          <w:szCs w:val="24"/>
        </w:rPr>
        <w:t>202</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年</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月</w:t>
      </w:r>
      <w:r>
        <w:rPr>
          <w:rFonts w:ascii="宋体" w:eastAsia="宋体" w:hAnsi="宋体" w:cs="宋体"/>
          <w:color w:val="333333"/>
          <w:kern w:val="0"/>
          <w:sz w:val="24"/>
          <w:szCs w:val="24"/>
        </w:rPr>
        <w:t>19</w:t>
      </w:r>
      <w:r>
        <w:rPr>
          <w:rFonts w:ascii="宋体" w:eastAsia="宋体" w:hAnsi="宋体" w:cs="宋体" w:hint="eastAsia"/>
          <w:color w:val="333333"/>
          <w:kern w:val="0"/>
          <w:sz w:val="24"/>
          <w:szCs w:val="24"/>
        </w:rPr>
        <w:t>日</w:t>
      </w:r>
    </w:p>
    <w:p w:rsidR="00640681" w:rsidRDefault="00640681">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rsidR="00640681" w:rsidRDefault="00640681" w:rsidP="00E73C07">
      <w:pPr>
        <w:widowControl/>
        <w:shd w:val="clear" w:color="auto" w:fill="FFFFFF"/>
        <w:spacing w:before="240" w:line="420" w:lineRule="atLeast"/>
        <w:jc w:val="right"/>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5274310" cy="74688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附件2：上海市东方公证处出具的公证书jpg_Page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7468870"/>
                    </a:xfrm>
                    <a:prstGeom prst="rect">
                      <a:avLst/>
                    </a:prstGeom>
                  </pic:spPr>
                </pic:pic>
              </a:graphicData>
            </a:graphic>
          </wp:inline>
        </w:drawing>
      </w:r>
    </w:p>
    <w:p w:rsidR="00640681" w:rsidRDefault="00640681">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rsidR="00640681" w:rsidRDefault="00640681" w:rsidP="00640681">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5274310" cy="74688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附件2：上海市东方公证处出具的公证书jpg_Page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7468870"/>
                    </a:xfrm>
                    <a:prstGeom prst="rect">
                      <a:avLst/>
                    </a:prstGeom>
                  </pic:spPr>
                </pic:pic>
              </a:graphicData>
            </a:graphic>
          </wp:inline>
        </w:drawing>
      </w:r>
    </w:p>
    <w:p w:rsidR="00640681" w:rsidRDefault="00640681">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rsidR="00D669EF" w:rsidRPr="00E73C07" w:rsidRDefault="00640681" w:rsidP="00640681">
      <w:pPr>
        <w:widowControl/>
        <w:shd w:val="clear" w:color="auto" w:fill="FFFFFF"/>
        <w:spacing w:before="240" w:line="420" w:lineRule="atLeast"/>
        <w:jc w:val="left"/>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5274310" cy="74688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附件2：上海市东方公证处出具的公证书jpg_Page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7468870"/>
                    </a:xfrm>
                    <a:prstGeom prst="rect">
                      <a:avLst/>
                    </a:prstGeom>
                  </pic:spPr>
                </pic:pic>
              </a:graphicData>
            </a:graphic>
          </wp:inline>
        </w:drawing>
      </w:r>
    </w:p>
    <w:sectPr w:rsidR="00D669EF" w:rsidRPr="00E73C07" w:rsidSect="00376E6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2E" w:rsidRDefault="00E73C07">
      <w:r>
        <w:separator/>
      </w:r>
    </w:p>
  </w:endnote>
  <w:endnote w:type="continuationSeparator" w:id="0">
    <w:p w:rsidR="00A6112E" w:rsidRDefault="00E73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504754"/>
    </w:sdtPr>
    <w:sdtContent>
      <w:p w:rsidR="00D669EF" w:rsidRDefault="00376E69">
        <w:pPr>
          <w:pStyle w:val="a4"/>
          <w:jc w:val="center"/>
        </w:pPr>
        <w:r>
          <w:fldChar w:fldCharType="begin"/>
        </w:r>
        <w:r w:rsidR="00E73C07">
          <w:instrText>PAGE   \* MERGEFORMAT</w:instrText>
        </w:r>
        <w:r>
          <w:fldChar w:fldCharType="separate"/>
        </w:r>
        <w:r w:rsidR="00F0660D" w:rsidRPr="00F0660D">
          <w:rPr>
            <w:noProof/>
            <w:lang w:val="zh-CN"/>
          </w:rPr>
          <w:t>1</w:t>
        </w:r>
        <w:r>
          <w:fldChar w:fldCharType="end"/>
        </w:r>
      </w:p>
    </w:sdtContent>
  </w:sdt>
  <w:p w:rsidR="00D669EF" w:rsidRDefault="00D669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2E" w:rsidRDefault="00E73C07">
      <w:r>
        <w:separator/>
      </w:r>
    </w:p>
  </w:footnote>
  <w:footnote w:type="continuationSeparator" w:id="0">
    <w:p w:rsidR="00A6112E" w:rsidRDefault="00E73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EFA"/>
    <w:rsid w:val="00043684"/>
    <w:rsid w:val="00081374"/>
    <w:rsid w:val="000828A5"/>
    <w:rsid w:val="000D2DEC"/>
    <w:rsid w:val="001749F7"/>
    <w:rsid w:val="001D260C"/>
    <w:rsid w:val="001F11B7"/>
    <w:rsid w:val="00243DF0"/>
    <w:rsid w:val="00252A24"/>
    <w:rsid w:val="00256FE3"/>
    <w:rsid w:val="002C6044"/>
    <w:rsid w:val="002E497C"/>
    <w:rsid w:val="002E6144"/>
    <w:rsid w:val="00306C5B"/>
    <w:rsid w:val="00317B4A"/>
    <w:rsid w:val="00356BF2"/>
    <w:rsid w:val="00366EEC"/>
    <w:rsid w:val="00376E69"/>
    <w:rsid w:val="003E3098"/>
    <w:rsid w:val="00420EFD"/>
    <w:rsid w:val="004A2C84"/>
    <w:rsid w:val="00511C9B"/>
    <w:rsid w:val="00576060"/>
    <w:rsid w:val="00640681"/>
    <w:rsid w:val="00644ADA"/>
    <w:rsid w:val="00674160"/>
    <w:rsid w:val="007257B5"/>
    <w:rsid w:val="00744EE6"/>
    <w:rsid w:val="00762A59"/>
    <w:rsid w:val="00771530"/>
    <w:rsid w:val="00796BE3"/>
    <w:rsid w:val="007E2E72"/>
    <w:rsid w:val="007E4486"/>
    <w:rsid w:val="007F65AC"/>
    <w:rsid w:val="00844206"/>
    <w:rsid w:val="008C1951"/>
    <w:rsid w:val="008E3CA6"/>
    <w:rsid w:val="008E698A"/>
    <w:rsid w:val="0090433E"/>
    <w:rsid w:val="0090582D"/>
    <w:rsid w:val="00962B40"/>
    <w:rsid w:val="00977C6A"/>
    <w:rsid w:val="009B5A21"/>
    <w:rsid w:val="00A37615"/>
    <w:rsid w:val="00A6112E"/>
    <w:rsid w:val="00AB0377"/>
    <w:rsid w:val="00AC25C2"/>
    <w:rsid w:val="00B96836"/>
    <w:rsid w:val="00C26876"/>
    <w:rsid w:val="00C31AEB"/>
    <w:rsid w:val="00C33B1D"/>
    <w:rsid w:val="00C35EFA"/>
    <w:rsid w:val="00C73F1E"/>
    <w:rsid w:val="00CC7991"/>
    <w:rsid w:val="00D669EF"/>
    <w:rsid w:val="00DB740C"/>
    <w:rsid w:val="00E73C07"/>
    <w:rsid w:val="00EC0518"/>
    <w:rsid w:val="00F0660D"/>
    <w:rsid w:val="00F07086"/>
    <w:rsid w:val="0305308D"/>
    <w:rsid w:val="0FFF525B"/>
    <w:rsid w:val="1A992D0D"/>
    <w:rsid w:val="1DF737C5"/>
    <w:rsid w:val="287C6B7A"/>
    <w:rsid w:val="33E07BBB"/>
    <w:rsid w:val="3C7853D8"/>
    <w:rsid w:val="47A833D0"/>
    <w:rsid w:val="64796E6A"/>
    <w:rsid w:val="6A493EC5"/>
    <w:rsid w:val="7D1A6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69"/>
    <w:pPr>
      <w:widowControl w:val="0"/>
      <w:jc w:val="both"/>
    </w:pPr>
    <w:rPr>
      <w:kern w:val="2"/>
      <w:sz w:val="21"/>
      <w:szCs w:val="22"/>
    </w:rPr>
  </w:style>
  <w:style w:type="paragraph" w:styleId="5">
    <w:name w:val="heading 5"/>
    <w:basedOn w:val="a"/>
    <w:next w:val="a"/>
    <w:link w:val="5Char"/>
    <w:uiPriority w:val="9"/>
    <w:qFormat/>
    <w:rsid w:val="00376E6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76E69"/>
    <w:rPr>
      <w:sz w:val="18"/>
      <w:szCs w:val="18"/>
    </w:rPr>
  </w:style>
  <w:style w:type="paragraph" w:styleId="a4">
    <w:name w:val="footer"/>
    <w:basedOn w:val="a"/>
    <w:link w:val="Char0"/>
    <w:uiPriority w:val="99"/>
    <w:unhideWhenUsed/>
    <w:qFormat/>
    <w:rsid w:val="00376E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76E6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376E6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sid w:val="00376E69"/>
    <w:rPr>
      <w:color w:val="0000FF"/>
      <w:u w:val="single"/>
    </w:rPr>
  </w:style>
  <w:style w:type="character" w:customStyle="1" w:styleId="5Char">
    <w:name w:val="标题 5 Char"/>
    <w:basedOn w:val="a0"/>
    <w:link w:val="5"/>
    <w:uiPriority w:val="9"/>
    <w:qFormat/>
    <w:rsid w:val="00376E69"/>
    <w:rPr>
      <w:rFonts w:ascii="宋体" w:eastAsia="宋体" w:hAnsi="宋体" w:cs="宋体"/>
      <w:b/>
      <w:bCs/>
      <w:kern w:val="0"/>
      <w:sz w:val="20"/>
      <w:szCs w:val="20"/>
    </w:rPr>
  </w:style>
  <w:style w:type="character" w:customStyle="1" w:styleId="w-annotation">
    <w:name w:val="w-annotation"/>
    <w:basedOn w:val="a0"/>
    <w:qFormat/>
    <w:rsid w:val="00376E69"/>
  </w:style>
  <w:style w:type="character" w:customStyle="1" w:styleId="fanyi">
    <w:name w:val="fanyi"/>
    <w:basedOn w:val="a0"/>
    <w:qFormat/>
    <w:rsid w:val="00376E69"/>
  </w:style>
  <w:style w:type="character" w:customStyle="1" w:styleId="Char1">
    <w:name w:val="页眉 Char"/>
    <w:basedOn w:val="a0"/>
    <w:link w:val="a5"/>
    <w:uiPriority w:val="99"/>
    <w:qFormat/>
    <w:rsid w:val="00376E69"/>
    <w:rPr>
      <w:sz w:val="18"/>
      <w:szCs w:val="18"/>
    </w:rPr>
  </w:style>
  <w:style w:type="character" w:customStyle="1" w:styleId="Char0">
    <w:name w:val="页脚 Char"/>
    <w:basedOn w:val="a0"/>
    <w:link w:val="a4"/>
    <w:uiPriority w:val="99"/>
    <w:qFormat/>
    <w:rsid w:val="00376E69"/>
    <w:rPr>
      <w:sz w:val="18"/>
      <w:szCs w:val="18"/>
    </w:rPr>
  </w:style>
  <w:style w:type="character" w:customStyle="1" w:styleId="Char">
    <w:name w:val="批注框文本 Char"/>
    <w:basedOn w:val="a0"/>
    <w:link w:val="a3"/>
    <w:uiPriority w:val="99"/>
    <w:semiHidden/>
    <w:qFormat/>
    <w:rsid w:val="00376E69"/>
    <w:rPr>
      <w:sz w:val="18"/>
      <w:szCs w:val="18"/>
    </w:rPr>
  </w:style>
  <w:style w:type="paragraph" w:customStyle="1" w:styleId="1">
    <w:name w:val="修订1"/>
    <w:hidden/>
    <w:uiPriority w:val="99"/>
    <w:semiHidden/>
    <w:qFormat/>
    <w:rsid w:val="00376E69"/>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8F0E-89DE-4149-A376-2E5C138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1650</Characters>
  <Application>Microsoft Office Word</Application>
  <DocSecurity>4</DocSecurity>
  <Lines>13</Lines>
  <Paragraphs>3</Paragraphs>
  <ScaleCrop>false</ScaleCrop>
  <Company>Microsoft</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武丹</dc:creator>
  <cp:lastModifiedBy>ZHONGM</cp:lastModifiedBy>
  <cp:revision>2</cp:revision>
  <dcterms:created xsi:type="dcterms:W3CDTF">2024-06-18T16:01:00Z</dcterms:created>
  <dcterms:modified xsi:type="dcterms:W3CDTF">2024-06-18T16:01:00Z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1598123636744B899ABCFBC90892F09C</vt:lpwstr>
  </property>
</Properties>
</file>