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46008">
      <w:pPr>
        <w:spacing w:line="360" w:lineRule="auto"/>
        <w:jc w:val="center"/>
        <w:rPr>
          <w:rFonts w:ascii="宋体" w:hAnsi="宋体" w:hint="eastAsia"/>
          <w:b/>
          <w:sz w:val="32"/>
          <w:szCs w:val="24"/>
        </w:rPr>
      </w:pPr>
      <w:r>
        <w:rPr>
          <w:rFonts w:ascii="宋体" w:hAnsi="宋体" w:hint="eastAsia"/>
          <w:b/>
          <w:sz w:val="32"/>
          <w:szCs w:val="24"/>
        </w:rPr>
        <w:t>关于中银证券</w:t>
      </w:r>
      <w:r>
        <w:rPr>
          <w:rFonts w:ascii="宋体" w:hAnsi="宋体" w:hint="eastAsia"/>
          <w:b/>
          <w:sz w:val="32"/>
          <w:szCs w:val="24"/>
        </w:rPr>
        <w:t>专精特新股票型</w:t>
      </w:r>
      <w:r>
        <w:rPr>
          <w:rFonts w:ascii="宋体" w:hAnsi="宋体" w:hint="eastAsia"/>
          <w:b/>
          <w:sz w:val="32"/>
          <w:szCs w:val="24"/>
        </w:rPr>
        <w:t>证券投资基金</w:t>
      </w:r>
    </w:p>
    <w:p w:rsidR="00000000" w:rsidRDefault="00E46008">
      <w:pPr>
        <w:spacing w:line="360" w:lineRule="auto"/>
        <w:jc w:val="center"/>
        <w:rPr>
          <w:rFonts w:ascii="宋体" w:hAnsi="宋体"/>
          <w:b/>
          <w:sz w:val="32"/>
          <w:szCs w:val="24"/>
        </w:rPr>
      </w:pPr>
      <w:r>
        <w:rPr>
          <w:rFonts w:ascii="宋体" w:hAnsi="宋体" w:hint="eastAsia"/>
          <w:b/>
          <w:sz w:val="32"/>
          <w:szCs w:val="24"/>
        </w:rPr>
        <w:t>基金合同终止及基金财产清算的公告</w:t>
      </w:r>
    </w:p>
    <w:p w:rsidR="00000000" w:rsidRDefault="00E46008">
      <w:pPr>
        <w:spacing w:line="360" w:lineRule="auto"/>
      </w:pPr>
    </w:p>
    <w:p w:rsidR="00000000" w:rsidRDefault="00E46008">
      <w:pPr>
        <w:spacing w:line="360" w:lineRule="auto"/>
        <w:rPr>
          <w:rFonts w:ascii="宋体" w:hAnsi="宋体" w:cs="Arial"/>
          <w:color w:val="000000"/>
          <w:sz w:val="24"/>
          <w:szCs w:val="24"/>
        </w:rPr>
      </w:pPr>
      <w:r>
        <w:rPr>
          <w:rFonts w:hint="eastAsia"/>
        </w:rPr>
        <w:t xml:space="preserve">　　</w:t>
      </w:r>
      <w:r>
        <w:rPr>
          <w:rFonts w:ascii="宋体" w:hAnsi="宋体" w:cs="Arial" w:hint="eastAsia"/>
          <w:color w:val="000000"/>
          <w:sz w:val="24"/>
          <w:szCs w:val="24"/>
        </w:rPr>
        <w:t>根据《中华人民共和国证券投资基金法》、《公开募集证券投资基金运作管理办法》和《中银证券</w:t>
      </w:r>
      <w:r>
        <w:rPr>
          <w:rFonts w:ascii="宋体" w:hAnsi="宋体" w:cs="Arial" w:hint="eastAsia"/>
          <w:color w:val="000000"/>
          <w:sz w:val="24"/>
          <w:szCs w:val="24"/>
        </w:rPr>
        <w:t>专精特新股票型</w:t>
      </w:r>
      <w:r>
        <w:rPr>
          <w:rFonts w:ascii="宋体" w:hAnsi="宋体" w:cs="Arial" w:hint="eastAsia"/>
          <w:color w:val="000000"/>
          <w:sz w:val="24"/>
          <w:szCs w:val="24"/>
        </w:rPr>
        <w:t>证券投资基金基金合同》</w:t>
      </w:r>
      <w:r>
        <w:rPr>
          <w:rFonts w:ascii="宋体" w:hAnsi="宋体" w:cs="Arial" w:hint="eastAsia"/>
          <w:color w:val="000000"/>
          <w:sz w:val="24"/>
          <w:szCs w:val="24"/>
        </w:rPr>
        <w:t>(</w:t>
      </w:r>
      <w:r>
        <w:rPr>
          <w:rFonts w:ascii="宋体" w:hAnsi="宋体" w:cs="Arial" w:hint="eastAsia"/>
          <w:color w:val="000000"/>
          <w:sz w:val="24"/>
          <w:szCs w:val="24"/>
        </w:rPr>
        <w:t>以下简称“《基金合同》”</w:t>
      </w:r>
      <w:r>
        <w:rPr>
          <w:rFonts w:ascii="宋体" w:hAnsi="宋体" w:cs="Arial" w:hint="eastAsia"/>
          <w:color w:val="000000"/>
          <w:sz w:val="24"/>
          <w:szCs w:val="24"/>
        </w:rPr>
        <w:t>)</w:t>
      </w:r>
      <w:r>
        <w:rPr>
          <w:rFonts w:ascii="宋体" w:hAnsi="宋体" w:cs="Arial" w:hint="eastAsia"/>
          <w:color w:val="000000"/>
          <w:sz w:val="24"/>
          <w:szCs w:val="24"/>
        </w:rPr>
        <w:t>的有关规定，中银证券</w:t>
      </w:r>
      <w:r>
        <w:rPr>
          <w:rFonts w:ascii="宋体" w:hAnsi="宋体" w:cs="Arial" w:hint="eastAsia"/>
          <w:color w:val="000000"/>
          <w:sz w:val="24"/>
          <w:szCs w:val="24"/>
        </w:rPr>
        <w:t>专精特新股票型</w:t>
      </w:r>
      <w:r>
        <w:rPr>
          <w:rFonts w:ascii="宋体" w:hAnsi="宋体" w:cs="Arial" w:hint="eastAsia"/>
          <w:color w:val="000000"/>
          <w:sz w:val="24"/>
          <w:szCs w:val="24"/>
        </w:rPr>
        <w:t>证券投资基金</w:t>
      </w:r>
      <w:r>
        <w:rPr>
          <w:rFonts w:ascii="宋体" w:hAnsi="宋体" w:cs="Arial" w:hint="eastAsia"/>
          <w:color w:val="000000"/>
          <w:sz w:val="24"/>
          <w:szCs w:val="24"/>
        </w:rPr>
        <w:t>(</w:t>
      </w:r>
      <w:r>
        <w:rPr>
          <w:rFonts w:ascii="宋体" w:hAnsi="宋体" w:cs="Arial" w:hint="eastAsia"/>
          <w:color w:val="000000"/>
          <w:sz w:val="24"/>
          <w:szCs w:val="24"/>
        </w:rPr>
        <w:t>以下简称“本基金”</w:t>
      </w:r>
      <w:r>
        <w:rPr>
          <w:rFonts w:ascii="宋体" w:hAnsi="宋体" w:cs="Arial" w:hint="eastAsia"/>
          <w:color w:val="000000"/>
          <w:sz w:val="24"/>
          <w:szCs w:val="24"/>
        </w:rPr>
        <w:t>)</w:t>
      </w:r>
      <w:r>
        <w:rPr>
          <w:rFonts w:ascii="宋体" w:hAnsi="宋体" w:cs="Arial" w:hint="eastAsia"/>
          <w:color w:val="000000"/>
          <w:sz w:val="24"/>
          <w:szCs w:val="24"/>
        </w:rPr>
        <w:t>出现了基金合同终止事由，中银国际证券股份有限公司</w:t>
      </w:r>
      <w:r>
        <w:rPr>
          <w:rFonts w:ascii="宋体" w:hAnsi="宋体" w:cs="Arial" w:hint="eastAsia"/>
          <w:color w:val="000000"/>
          <w:sz w:val="24"/>
          <w:szCs w:val="24"/>
        </w:rPr>
        <w:t>(</w:t>
      </w:r>
      <w:r>
        <w:rPr>
          <w:rFonts w:ascii="宋体" w:hAnsi="宋体" w:cs="Arial" w:hint="eastAsia"/>
          <w:color w:val="000000"/>
          <w:sz w:val="24"/>
          <w:szCs w:val="24"/>
        </w:rPr>
        <w:t>以下简称“基金管理人”</w:t>
      </w:r>
      <w:r>
        <w:rPr>
          <w:rFonts w:ascii="宋体" w:hAnsi="宋体" w:cs="Arial" w:hint="eastAsia"/>
          <w:color w:val="000000"/>
          <w:sz w:val="24"/>
          <w:szCs w:val="24"/>
        </w:rPr>
        <w:t>)</w:t>
      </w:r>
      <w:r>
        <w:rPr>
          <w:rFonts w:ascii="宋体" w:hAnsi="宋体" w:cs="Arial" w:hint="eastAsia"/>
          <w:color w:val="000000"/>
          <w:sz w:val="24"/>
          <w:szCs w:val="24"/>
        </w:rPr>
        <w:t>应当在上述事由出现后按照约定程序终止《基金合同》，无须召开基金份额持有人大会审议。现将相关事宜公告如下：</w:t>
      </w:r>
    </w:p>
    <w:p w:rsidR="00000000" w:rsidRDefault="00E46008">
      <w:pPr>
        <w:spacing w:line="360" w:lineRule="auto"/>
        <w:outlineLvl w:val="0"/>
        <w:rPr>
          <w:rFonts w:ascii="宋体" w:hAnsi="宋体" w:cs="Arial"/>
          <w:b/>
          <w:color w:val="000000"/>
          <w:sz w:val="24"/>
          <w:szCs w:val="24"/>
        </w:rPr>
      </w:pPr>
      <w:r>
        <w:rPr>
          <w:rFonts w:ascii="宋体" w:hAnsi="宋体" w:cs="Arial" w:hint="eastAsia"/>
          <w:color w:val="000000"/>
          <w:sz w:val="24"/>
          <w:szCs w:val="24"/>
        </w:rPr>
        <w:t xml:space="preserve">　　</w:t>
      </w:r>
      <w:r>
        <w:rPr>
          <w:rFonts w:ascii="宋体" w:hAnsi="宋体" w:cs="Arial" w:hint="eastAsia"/>
          <w:b/>
          <w:color w:val="000000"/>
          <w:sz w:val="24"/>
          <w:szCs w:val="24"/>
        </w:rPr>
        <w:t>一、基金基本信息</w:t>
      </w:r>
    </w:p>
    <w:p w:rsidR="00000000" w:rsidRDefault="00E46008">
      <w:pPr>
        <w:adjustRightInd w:val="0"/>
        <w:snapToGrid w:val="0"/>
        <w:spacing w:line="360" w:lineRule="auto"/>
        <w:ind w:firstLineChars="200" w:firstLine="480"/>
        <w:rPr>
          <w:rFonts w:ascii="宋体" w:hAnsi="宋体" w:cs="Arial" w:hint="eastAsia"/>
          <w:color w:val="000000"/>
          <w:sz w:val="24"/>
          <w:szCs w:val="24"/>
        </w:rPr>
      </w:pPr>
      <w:r>
        <w:rPr>
          <w:rFonts w:ascii="宋体" w:hAnsi="宋体" w:cs="Arial"/>
          <w:color w:val="000000"/>
          <w:sz w:val="24"/>
          <w:szCs w:val="24"/>
        </w:rPr>
        <w:t>基金名称</w:t>
      </w:r>
      <w:r>
        <w:rPr>
          <w:rFonts w:ascii="宋体" w:hAnsi="宋体" w:cs="Arial" w:hint="eastAsia"/>
          <w:color w:val="000000"/>
          <w:sz w:val="24"/>
          <w:szCs w:val="24"/>
        </w:rPr>
        <w:t xml:space="preserve">: </w:t>
      </w:r>
      <w:r>
        <w:rPr>
          <w:rFonts w:ascii="宋体" w:hAnsi="宋体" w:cs="Arial" w:hint="eastAsia"/>
          <w:color w:val="000000"/>
          <w:sz w:val="24"/>
          <w:szCs w:val="24"/>
        </w:rPr>
        <w:t>中银证券</w:t>
      </w:r>
      <w:r>
        <w:rPr>
          <w:rFonts w:ascii="宋体" w:hAnsi="宋体" w:cs="Arial" w:hint="eastAsia"/>
          <w:color w:val="000000"/>
          <w:sz w:val="24"/>
          <w:szCs w:val="24"/>
        </w:rPr>
        <w:t>专精特新股票型</w:t>
      </w:r>
      <w:r>
        <w:rPr>
          <w:rFonts w:ascii="宋体" w:hAnsi="宋体" w:cs="Arial" w:hint="eastAsia"/>
          <w:color w:val="000000"/>
          <w:sz w:val="24"/>
          <w:szCs w:val="24"/>
        </w:rPr>
        <w:t>证券投资基金</w:t>
      </w:r>
    </w:p>
    <w:p w:rsidR="00000000" w:rsidRDefault="00E46008">
      <w:pPr>
        <w:adjustRightInd w:val="0"/>
        <w:snapToGrid w:val="0"/>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基金简称：中银证券</w:t>
      </w:r>
      <w:r>
        <w:rPr>
          <w:rFonts w:ascii="宋体" w:hAnsi="宋体" w:cs="Arial" w:hint="eastAsia"/>
          <w:color w:val="000000"/>
          <w:sz w:val="24"/>
          <w:szCs w:val="24"/>
        </w:rPr>
        <w:t>专精特新股票</w:t>
      </w:r>
    </w:p>
    <w:p w:rsidR="00000000" w:rsidRDefault="00E46008">
      <w:pPr>
        <w:adjustRightInd w:val="0"/>
        <w:snapToGrid w:val="0"/>
        <w:spacing w:line="360" w:lineRule="auto"/>
        <w:ind w:firstLineChars="200" w:firstLine="480"/>
        <w:rPr>
          <w:rFonts w:ascii="宋体" w:hAnsi="宋体" w:cs="Arial"/>
          <w:color w:val="000000"/>
          <w:sz w:val="24"/>
          <w:szCs w:val="24"/>
        </w:rPr>
      </w:pPr>
      <w:bookmarkStart w:id="0" w:name="_Toc79392574"/>
      <w:r>
        <w:rPr>
          <w:rFonts w:ascii="宋体" w:hAnsi="宋体" w:cs="Arial"/>
          <w:color w:val="000000"/>
          <w:sz w:val="24"/>
          <w:szCs w:val="24"/>
        </w:rPr>
        <w:t>基金的类别</w:t>
      </w:r>
      <w:bookmarkEnd w:id="0"/>
      <w:r>
        <w:rPr>
          <w:rFonts w:ascii="宋体" w:hAnsi="宋体" w:cs="Arial" w:hint="eastAsia"/>
          <w:color w:val="000000"/>
          <w:sz w:val="24"/>
          <w:szCs w:val="24"/>
        </w:rPr>
        <w:t>：</w:t>
      </w:r>
      <w:r>
        <w:rPr>
          <w:rFonts w:ascii="宋体" w:hAnsi="宋体" w:cs="Arial" w:hint="eastAsia"/>
          <w:color w:val="000000"/>
          <w:sz w:val="24"/>
          <w:szCs w:val="24"/>
        </w:rPr>
        <w:t>股票型证券投资基金</w:t>
      </w:r>
    </w:p>
    <w:p w:rsidR="00000000" w:rsidRDefault="00E46008">
      <w:pPr>
        <w:adjustRightInd w:val="0"/>
        <w:snapToGrid w:val="0"/>
        <w:spacing w:line="360" w:lineRule="auto"/>
        <w:ind w:firstLineChars="200" w:firstLine="480"/>
        <w:rPr>
          <w:rFonts w:ascii="宋体" w:hAnsi="宋体" w:cs="Arial"/>
          <w:color w:val="000000"/>
          <w:sz w:val="24"/>
          <w:szCs w:val="24"/>
        </w:rPr>
      </w:pPr>
      <w:bookmarkStart w:id="1" w:name="_Toc79392575"/>
      <w:r>
        <w:rPr>
          <w:rFonts w:ascii="宋体" w:hAnsi="宋体" w:cs="Arial" w:hint="eastAsia"/>
          <w:color w:val="000000"/>
          <w:sz w:val="24"/>
          <w:szCs w:val="24"/>
        </w:rPr>
        <w:t>基金代码：</w:t>
      </w:r>
      <w:r>
        <w:rPr>
          <w:rFonts w:ascii="宋体" w:hAnsi="宋体" w:cs="Arial"/>
          <w:color w:val="000000"/>
          <w:sz w:val="24"/>
          <w:szCs w:val="24"/>
        </w:rPr>
        <w:t>A</w:t>
      </w:r>
      <w:r>
        <w:rPr>
          <w:rFonts w:ascii="宋体" w:hAnsi="宋体" w:cs="Arial" w:hint="eastAsia"/>
          <w:color w:val="000000"/>
          <w:sz w:val="24"/>
          <w:szCs w:val="24"/>
        </w:rPr>
        <w:t>类</w:t>
      </w:r>
      <w:r>
        <w:rPr>
          <w:rFonts w:ascii="宋体" w:hAnsi="宋体" w:cs="Arial" w:hint="eastAsia"/>
          <w:color w:val="000000"/>
          <w:sz w:val="24"/>
          <w:szCs w:val="24"/>
        </w:rPr>
        <w:t>015429</w:t>
      </w:r>
      <w:r>
        <w:rPr>
          <w:rFonts w:ascii="宋体" w:hAnsi="宋体" w:cs="Arial" w:hint="eastAsia"/>
          <w:color w:val="000000"/>
          <w:sz w:val="24"/>
          <w:szCs w:val="24"/>
        </w:rPr>
        <w:t>，</w:t>
      </w:r>
      <w:r>
        <w:rPr>
          <w:rFonts w:ascii="宋体" w:hAnsi="宋体" w:cs="Arial"/>
          <w:color w:val="000000"/>
          <w:sz w:val="24"/>
          <w:szCs w:val="24"/>
        </w:rPr>
        <w:t>C</w:t>
      </w:r>
      <w:r>
        <w:rPr>
          <w:rFonts w:ascii="宋体" w:hAnsi="宋体" w:cs="Arial" w:hint="eastAsia"/>
          <w:color w:val="000000"/>
          <w:sz w:val="24"/>
          <w:szCs w:val="24"/>
        </w:rPr>
        <w:t>类</w:t>
      </w:r>
      <w:r>
        <w:rPr>
          <w:rFonts w:ascii="宋体" w:hAnsi="宋体" w:cs="Arial" w:hint="eastAsia"/>
          <w:color w:val="000000"/>
          <w:sz w:val="24"/>
          <w:szCs w:val="24"/>
        </w:rPr>
        <w:t>015430</w:t>
      </w:r>
    </w:p>
    <w:p w:rsidR="00000000" w:rsidRDefault="00E46008">
      <w:pPr>
        <w:adjustRightInd w:val="0"/>
        <w:snapToGrid w:val="0"/>
        <w:spacing w:line="360" w:lineRule="auto"/>
        <w:ind w:firstLineChars="200" w:firstLine="480"/>
        <w:rPr>
          <w:rFonts w:ascii="宋体" w:hAnsi="宋体" w:cs="Arial" w:hint="eastAsia"/>
          <w:color w:val="000000"/>
          <w:sz w:val="24"/>
          <w:szCs w:val="24"/>
        </w:rPr>
      </w:pPr>
      <w:r>
        <w:rPr>
          <w:rFonts w:ascii="宋体" w:hAnsi="宋体" w:cs="Arial"/>
          <w:color w:val="000000"/>
          <w:sz w:val="24"/>
          <w:szCs w:val="24"/>
        </w:rPr>
        <w:t>基金的运作方式</w:t>
      </w:r>
      <w:r>
        <w:rPr>
          <w:rFonts w:ascii="宋体" w:hAnsi="宋体" w:cs="Arial" w:hint="eastAsia"/>
          <w:color w:val="000000"/>
          <w:sz w:val="24"/>
          <w:szCs w:val="24"/>
        </w:rPr>
        <w:t>：契约</w:t>
      </w:r>
      <w:r>
        <w:rPr>
          <w:rFonts w:ascii="宋体" w:hAnsi="宋体" w:cs="Arial" w:hint="eastAsia"/>
          <w:color w:val="000000"/>
          <w:sz w:val="24"/>
          <w:szCs w:val="24"/>
        </w:rPr>
        <w:t>型开放式</w:t>
      </w:r>
    </w:p>
    <w:p w:rsidR="00000000" w:rsidRDefault="00E46008">
      <w:pPr>
        <w:adjustRightInd w:val="0"/>
        <w:snapToGrid w:val="0"/>
        <w:spacing w:line="360" w:lineRule="auto"/>
        <w:ind w:firstLineChars="200" w:firstLine="480"/>
        <w:rPr>
          <w:rFonts w:ascii="宋体" w:hAnsi="宋体" w:cs="Arial"/>
          <w:color w:val="000000"/>
          <w:sz w:val="24"/>
          <w:szCs w:val="24"/>
          <w:highlight w:val="yellow"/>
        </w:rPr>
      </w:pPr>
      <w:r>
        <w:rPr>
          <w:rFonts w:ascii="宋体" w:hAnsi="宋体" w:cs="Arial" w:hint="eastAsia"/>
          <w:color w:val="000000"/>
          <w:sz w:val="24"/>
          <w:szCs w:val="24"/>
        </w:rPr>
        <w:t>基金合同生效日：</w:t>
      </w:r>
      <w:r>
        <w:rPr>
          <w:rFonts w:ascii="宋体" w:hAnsi="宋体" w:cs="Arial" w:hint="eastAsia"/>
          <w:color w:val="000000"/>
          <w:sz w:val="24"/>
          <w:szCs w:val="24"/>
        </w:rPr>
        <w:t>20</w:t>
      </w:r>
      <w:r>
        <w:rPr>
          <w:rFonts w:ascii="宋体" w:hAnsi="宋体" w:cs="Arial" w:hint="eastAsia"/>
          <w:color w:val="000000"/>
          <w:sz w:val="24"/>
          <w:szCs w:val="24"/>
        </w:rPr>
        <w:t>22</w:t>
      </w:r>
      <w:r>
        <w:rPr>
          <w:rFonts w:ascii="宋体" w:hAnsi="宋体" w:cs="Arial" w:hint="eastAsia"/>
          <w:color w:val="000000"/>
          <w:sz w:val="24"/>
          <w:szCs w:val="24"/>
        </w:rPr>
        <w:t>年</w:t>
      </w:r>
      <w:r>
        <w:rPr>
          <w:rFonts w:ascii="宋体" w:hAnsi="宋体" w:cs="Arial" w:hint="eastAsia"/>
          <w:color w:val="000000"/>
          <w:sz w:val="24"/>
          <w:szCs w:val="24"/>
        </w:rPr>
        <w:t>9</w:t>
      </w:r>
      <w:r>
        <w:rPr>
          <w:rFonts w:ascii="宋体" w:hAnsi="宋体" w:cs="Arial" w:hint="eastAsia"/>
          <w:color w:val="000000"/>
          <w:sz w:val="24"/>
          <w:szCs w:val="24"/>
        </w:rPr>
        <w:t>月</w:t>
      </w:r>
      <w:r>
        <w:rPr>
          <w:rFonts w:ascii="宋体" w:hAnsi="宋体" w:cs="Arial" w:hint="eastAsia"/>
          <w:color w:val="000000"/>
          <w:sz w:val="24"/>
          <w:szCs w:val="24"/>
        </w:rPr>
        <w:t>22</w:t>
      </w:r>
      <w:r>
        <w:rPr>
          <w:rFonts w:ascii="宋体" w:hAnsi="宋体" w:cs="Arial" w:hint="eastAsia"/>
          <w:color w:val="000000"/>
          <w:sz w:val="24"/>
          <w:szCs w:val="24"/>
        </w:rPr>
        <w:t>日</w:t>
      </w:r>
    </w:p>
    <w:p w:rsidR="00000000" w:rsidRDefault="00E46008">
      <w:pPr>
        <w:adjustRightInd w:val="0"/>
        <w:snapToGrid w:val="0"/>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基金管理人：中银国际证券股份有限公司</w:t>
      </w:r>
    </w:p>
    <w:p w:rsidR="00000000" w:rsidRDefault="00E46008">
      <w:pPr>
        <w:adjustRightInd w:val="0"/>
        <w:snapToGrid w:val="0"/>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基金托管人：</w:t>
      </w:r>
      <w:r>
        <w:rPr>
          <w:rFonts w:ascii="宋体" w:hAnsi="宋体" w:cs="Arial" w:hint="eastAsia"/>
          <w:color w:val="000000"/>
          <w:sz w:val="24"/>
          <w:szCs w:val="24"/>
        </w:rPr>
        <w:t>广州农村商业</w:t>
      </w:r>
      <w:r>
        <w:rPr>
          <w:rFonts w:ascii="宋体" w:hAnsi="宋体" w:cs="Arial" w:hint="eastAsia"/>
          <w:color w:val="000000"/>
          <w:sz w:val="24"/>
          <w:szCs w:val="24"/>
        </w:rPr>
        <w:t>银行股份有限公司</w:t>
      </w:r>
    </w:p>
    <w:bookmarkEnd w:id="1"/>
    <w:p w:rsidR="00000000" w:rsidRDefault="00E46008">
      <w:pPr>
        <w:spacing w:line="360" w:lineRule="auto"/>
        <w:rPr>
          <w:rFonts w:ascii="宋体" w:hAnsi="宋体" w:cs="Arial"/>
          <w:color w:val="000000"/>
          <w:sz w:val="24"/>
          <w:szCs w:val="24"/>
        </w:rPr>
      </w:pPr>
    </w:p>
    <w:p w:rsidR="00000000" w:rsidRDefault="00E46008">
      <w:pPr>
        <w:spacing w:line="360" w:lineRule="auto"/>
        <w:outlineLvl w:val="0"/>
        <w:rPr>
          <w:rFonts w:ascii="宋体" w:hAnsi="宋体" w:cs="Arial"/>
          <w:b/>
          <w:color w:val="000000"/>
          <w:sz w:val="24"/>
          <w:szCs w:val="24"/>
        </w:rPr>
      </w:pPr>
      <w:r>
        <w:rPr>
          <w:rFonts w:ascii="宋体" w:hAnsi="宋体" w:cs="Arial" w:hint="eastAsia"/>
          <w:color w:val="000000"/>
          <w:sz w:val="24"/>
          <w:szCs w:val="24"/>
        </w:rPr>
        <w:t xml:space="preserve">　　</w:t>
      </w:r>
      <w:r>
        <w:rPr>
          <w:rFonts w:ascii="宋体" w:hAnsi="宋体" w:cs="Arial" w:hint="eastAsia"/>
          <w:b/>
          <w:color w:val="000000"/>
          <w:sz w:val="24"/>
          <w:szCs w:val="24"/>
        </w:rPr>
        <w:t>二、</w:t>
      </w:r>
      <w:r>
        <w:rPr>
          <w:rFonts w:ascii="宋体" w:hAnsi="宋体" w:cs="Arial" w:hint="eastAsia"/>
          <w:b/>
          <w:color w:val="000000"/>
          <w:sz w:val="24"/>
          <w:szCs w:val="24"/>
        </w:rPr>
        <w:t>触发</w:t>
      </w:r>
      <w:r>
        <w:rPr>
          <w:rFonts w:ascii="宋体" w:hAnsi="宋体" w:cs="Arial" w:hint="eastAsia"/>
          <w:b/>
          <w:color w:val="000000"/>
          <w:sz w:val="24"/>
          <w:szCs w:val="24"/>
        </w:rPr>
        <w:t>基金合同</w:t>
      </w:r>
      <w:r>
        <w:rPr>
          <w:rFonts w:ascii="宋体" w:hAnsi="宋体" w:cs="Arial" w:hint="eastAsia"/>
          <w:b/>
          <w:color w:val="000000"/>
          <w:sz w:val="24"/>
          <w:szCs w:val="24"/>
        </w:rPr>
        <w:t>终止条款的情形</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根据《基金合同》“</w:t>
      </w:r>
      <w:r>
        <w:rPr>
          <w:rFonts w:ascii="宋体" w:hAnsi="宋体" w:cs="Arial"/>
          <w:color w:val="000000"/>
          <w:sz w:val="24"/>
          <w:szCs w:val="24"/>
        </w:rPr>
        <w:t>第</w:t>
      </w:r>
      <w:r>
        <w:rPr>
          <w:rFonts w:ascii="宋体" w:hAnsi="宋体" w:cs="Arial" w:hint="eastAsia"/>
          <w:color w:val="000000"/>
          <w:sz w:val="24"/>
          <w:szCs w:val="24"/>
        </w:rPr>
        <w:t>五</w:t>
      </w:r>
      <w:r>
        <w:rPr>
          <w:rFonts w:ascii="宋体" w:hAnsi="宋体" w:cs="Arial"/>
          <w:color w:val="000000"/>
          <w:sz w:val="24"/>
          <w:szCs w:val="24"/>
        </w:rPr>
        <w:t>部分</w:t>
      </w:r>
      <w:bookmarkStart w:id="2" w:name="_Hlt88828593"/>
      <w:r>
        <w:rPr>
          <w:rFonts w:ascii="宋体" w:hAnsi="宋体" w:cs="Arial" w:hint="eastAsia"/>
          <w:color w:val="000000"/>
          <w:sz w:val="24"/>
          <w:szCs w:val="24"/>
        </w:rPr>
        <w:t xml:space="preserve"> </w:t>
      </w:r>
      <w:r>
        <w:rPr>
          <w:rFonts w:ascii="宋体" w:hAnsi="宋体" w:cs="Arial"/>
          <w:color w:val="000000"/>
          <w:sz w:val="24"/>
          <w:szCs w:val="24"/>
        </w:rPr>
        <w:t>基金</w:t>
      </w:r>
      <w:r>
        <w:rPr>
          <w:rFonts w:ascii="宋体" w:hAnsi="宋体" w:cs="Arial" w:hint="eastAsia"/>
          <w:color w:val="000000"/>
          <w:sz w:val="24"/>
          <w:szCs w:val="24"/>
        </w:rPr>
        <w:t>备案</w:t>
      </w:r>
      <w:bookmarkEnd w:id="2"/>
      <w:r>
        <w:rPr>
          <w:rFonts w:ascii="宋体" w:hAnsi="宋体" w:cs="Arial" w:hint="eastAsia"/>
          <w:color w:val="000000"/>
          <w:sz w:val="24"/>
          <w:szCs w:val="24"/>
        </w:rPr>
        <w:t>”中“</w:t>
      </w:r>
      <w:r>
        <w:rPr>
          <w:rFonts w:ascii="宋体" w:hAnsi="宋体" w:cs="Arial" w:hint="eastAsia"/>
          <w:color w:val="000000"/>
          <w:sz w:val="24"/>
          <w:szCs w:val="24"/>
        </w:rPr>
        <w:t>三</w:t>
      </w:r>
      <w:r>
        <w:rPr>
          <w:rFonts w:ascii="宋体" w:hAnsi="宋体" w:cs="Arial"/>
          <w:bCs/>
          <w:color w:val="000000"/>
          <w:sz w:val="24"/>
          <w:szCs w:val="24"/>
        </w:rPr>
        <w:t>、</w:t>
      </w:r>
      <w:r>
        <w:rPr>
          <w:rFonts w:ascii="宋体" w:hAnsi="宋体" w:cs="Arial" w:hint="eastAsia"/>
          <w:bCs/>
          <w:color w:val="000000"/>
          <w:sz w:val="24"/>
          <w:szCs w:val="24"/>
        </w:rPr>
        <w:t>基金存续期内的基金份额持有人数量和资产规模</w:t>
      </w:r>
      <w:r>
        <w:rPr>
          <w:rFonts w:ascii="宋体" w:hAnsi="宋体" w:cs="Arial" w:hint="eastAsia"/>
          <w:color w:val="000000"/>
          <w:sz w:val="24"/>
          <w:szCs w:val="24"/>
        </w:rPr>
        <w:t>”的约定：</w:t>
      </w:r>
    </w:p>
    <w:p w:rsidR="00000000" w:rsidRDefault="00E46008">
      <w:pPr>
        <w:spacing w:line="360" w:lineRule="auto"/>
        <w:ind w:firstLineChars="200" w:firstLine="480"/>
        <w:rPr>
          <w:rFonts w:ascii="宋体" w:hAnsi="宋体" w:cs="Arial" w:hint="eastAsia"/>
          <w:color w:val="000000"/>
          <w:sz w:val="24"/>
          <w:szCs w:val="24"/>
        </w:rPr>
      </w:pPr>
      <w:r>
        <w:rPr>
          <w:rFonts w:ascii="宋体" w:hAnsi="宋体" w:cs="Arial" w:hint="eastAsia"/>
          <w:color w:val="000000"/>
          <w:sz w:val="24"/>
          <w:szCs w:val="24"/>
        </w:rPr>
        <w:t>“《基金合同》生效后，连续</w:t>
      </w:r>
      <w:r>
        <w:rPr>
          <w:rFonts w:ascii="宋体" w:hAnsi="宋体" w:cs="Arial" w:hint="eastAsia"/>
          <w:color w:val="000000"/>
          <w:sz w:val="24"/>
          <w:szCs w:val="24"/>
        </w:rPr>
        <w:t>20</w:t>
      </w:r>
      <w:r>
        <w:rPr>
          <w:rFonts w:ascii="宋体" w:hAnsi="宋体" w:cs="Arial" w:hint="eastAsia"/>
          <w:color w:val="000000"/>
          <w:sz w:val="24"/>
          <w:szCs w:val="24"/>
        </w:rPr>
        <w:t>个工作日出现基金份额持有人数量不满</w:t>
      </w:r>
      <w:r>
        <w:rPr>
          <w:rFonts w:ascii="宋体" w:hAnsi="宋体" w:cs="Arial" w:hint="eastAsia"/>
          <w:color w:val="000000"/>
          <w:sz w:val="24"/>
          <w:szCs w:val="24"/>
        </w:rPr>
        <w:t>200</w:t>
      </w:r>
      <w:r>
        <w:rPr>
          <w:rFonts w:ascii="宋体" w:hAnsi="宋体" w:cs="Arial" w:hint="eastAsia"/>
          <w:color w:val="000000"/>
          <w:sz w:val="24"/>
          <w:szCs w:val="24"/>
        </w:rPr>
        <w:t>人或者</w:t>
      </w:r>
      <w:r>
        <w:rPr>
          <w:rFonts w:ascii="宋体" w:hAnsi="宋体" w:cs="Arial" w:hint="eastAsia"/>
          <w:color w:val="000000"/>
          <w:sz w:val="24"/>
          <w:szCs w:val="24"/>
        </w:rPr>
        <w:t>基金资产净值低于</w:t>
      </w:r>
      <w:r>
        <w:rPr>
          <w:rFonts w:ascii="宋体" w:hAnsi="宋体" w:cs="Arial" w:hint="eastAsia"/>
          <w:color w:val="000000"/>
          <w:sz w:val="24"/>
          <w:szCs w:val="24"/>
        </w:rPr>
        <w:t>5000</w:t>
      </w:r>
      <w:r>
        <w:rPr>
          <w:rFonts w:ascii="宋体" w:hAnsi="宋体" w:cs="Arial" w:hint="eastAsia"/>
          <w:color w:val="000000"/>
          <w:sz w:val="24"/>
          <w:szCs w:val="24"/>
        </w:rPr>
        <w:t>万元情形的，基金管理人应当在定期报告中予以披露；连续</w:t>
      </w:r>
      <w:r>
        <w:rPr>
          <w:rFonts w:ascii="宋体" w:hAnsi="宋体" w:cs="Arial" w:hint="eastAsia"/>
          <w:color w:val="000000"/>
          <w:sz w:val="24"/>
          <w:szCs w:val="24"/>
        </w:rPr>
        <w:t>50</w:t>
      </w:r>
      <w:r>
        <w:rPr>
          <w:rFonts w:ascii="宋体" w:hAnsi="宋体" w:cs="Arial" w:hint="eastAsia"/>
          <w:color w:val="000000"/>
          <w:sz w:val="24"/>
          <w:szCs w:val="24"/>
        </w:rPr>
        <w:t>个工作日出现前述情形的，基金管理人应当终止《基金合同》，无须召开基金份额持有人大会。</w:t>
      </w:r>
    </w:p>
    <w:p w:rsidR="00000000" w:rsidRDefault="00E46008">
      <w:pPr>
        <w:spacing w:line="360" w:lineRule="auto"/>
        <w:ind w:firstLineChars="200" w:firstLine="480"/>
        <w:rPr>
          <w:rFonts w:ascii="宋体" w:hAnsi="宋体" w:cs="Arial" w:hint="eastAsia"/>
          <w:color w:val="000000"/>
          <w:sz w:val="24"/>
          <w:szCs w:val="24"/>
        </w:rPr>
      </w:pPr>
      <w:r>
        <w:rPr>
          <w:rFonts w:ascii="宋体" w:hAnsi="宋体" w:cs="Arial" w:hint="eastAsia"/>
          <w:color w:val="000000"/>
          <w:sz w:val="24"/>
          <w:szCs w:val="24"/>
        </w:rPr>
        <w:t>法律法规或中国证监会另有规定时，从其规定。</w:t>
      </w:r>
      <w:r>
        <w:rPr>
          <w:rFonts w:ascii="宋体" w:hAnsi="宋体" w:cs="Arial" w:hint="eastAsia"/>
          <w:color w:val="000000"/>
          <w:sz w:val="24"/>
          <w:szCs w:val="24"/>
        </w:rPr>
        <w:t>”</w:t>
      </w:r>
    </w:p>
    <w:p w:rsidR="00000000" w:rsidRDefault="00E46008">
      <w:pPr>
        <w:spacing w:line="360" w:lineRule="auto"/>
        <w:ind w:firstLineChars="200" w:firstLine="480"/>
        <w:rPr>
          <w:rFonts w:ascii="宋体" w:hAnsi="宋体" w:cs="Arial" w:hint="eastAsia"/>
          <w:color w:val="000000"/>
          <w:sz w:val="24"/>
          <w:szCs w:val="24"/>
        </w:rPr>
      </w:pPr>
      <w:r>
        <w:rPr>
          <w:rFonts w:ascii="宋体" w:hAnsi="宋体" w:cs="Arial" w:hint="eastAsia"/>
          <w:color w:val="000000"/>
          <w:sz w:val="24"/>
          <w:szCs w:val="24"/>
        </w:rPr>
        <w:t>截至</w:t>
      </w:r>
      <w:r>
        <w:rPr>
          <w:rFonts w:ascii="宋体" w:hAnsi="宋体" w:cs="Arial" w:hint="eastAsia"/>
          <w:color w:val="000000"/>
          <w:sz w:val="24"/>
          <w:szCs w:val="24"/>
        </w:rPr>
        <w:t>2024</w:t>
      </w:r>
      <w:r>
        <w:rPr>
          <w:rFonts w:ascii="宋体" w:hAnsi="宋体" w:cs="Arial" w:hint="eastAsia"/>
          <w:color w:val="000000"/>
          <w:sz w:val="24"/>
          <w:szCs w:val="24"/>
        </w:rPr>
        <w:t>年</w:t>
      </w:r>
      <w:r>
        <w:rPr>
          <w:rFonts w:ascii="宋体" w:hAnsi="宋体" w:cs="Arial" w:hint="eastAsia"/>
          <w:color w:val="000000"/>
          <w:sz w:val="24"/>
          <w:szCs w:val="24"/>
        </w:rPr>
        <w:t>6</w:t>
      </w:r>
      <w:r>
        <w:rPr>
          <w:rFonts w:ascii="宋体" w:hAnsi="宋体" w:cs="Arial" w:hint="eastAsia"/>
          <w:color w:val="000000"/>
          <w:sz w:val="24"/>
          <w:szCs w:val="24"/>
        </w:rPr>
        <w:t>月</w:t>
      </w:r>
      <w:r>
        <w:rPr>
          <w:rFonts w:ascii="宋体" w:hAnsi="宋体" w:cs="Arial" w:hint="eastAsia"/>
          <w:color w:val="000000"/>
          <w:sz w:val="24"/>
          <w:szCs w:val="24"/>
        </w:rPr>
        <w:t>1</w:t>
      </w:r>
      <w:r>
        <w:rPr>
          <w:rFonts w:ascii="宋体" w:hAnsi="宋体" w:cs="Arial" w:hint="eastAsia"/>
          <w:color w:val="000000"/>
          <w:sz w:val="24"/>
          <w:szCs w:val="24"/>
        </w:rPr>
        <w:t>7</w:t>
      </w:r>
      <w:r>
        <w:rPr>
          <w:rFonts w:ascii="宋体" w:hAnsi="宋体" w:cs="Arial" w:hint="eastAsia"/>
          <w:color w:val="000000"/>
          <w:sz w:val="24"/>
          <w:szCs w:val="24"/>
        </w:rPr>
        <w:t>日日终，本基金的基金资产净值已连续</w:t>
      </w:r>
      <w:r>
        <w:rPr>
          <w:rFonts w:ascii="宋体" w:hAnsi="宋体" w:cs="Arial" w:hint="eastAsia"/>
          <w:color w:val="000000"/>
          <w:sz w:val="24"/>
          <w:szCs w:val="24"/>
        </w:rPr>
        <w:t>50</w:t>
      </w:r>
      <w:r>
        <w:rPr>
          <w:rFonts w:ascii="宋体" w:hAnsi="宋体" w:cs="Arial" w:hint="eastAsia"/>
          <w:color w:val="000000"/>
          <w:sz w:val="24"/>
          <w:szCs w:val="24"/>
        </w:rPr>
        <w:t>个工作日低于</w:t>
      </w:r>
      <w:r>
        <w:rPr>
          <w:rFonts w:ascii="宋体" w:hAnsi="宋体" w:cs="Arial" w:hint="eastAsia"/>
          <w:color w:val="000000"/>
          <w:sz w:val="24"/>
          <w:szCs w:val="24"/>
        </w:rPr>
        <w:t>5000</w:t>
      </w:r>
      <w:r>
        <w:rPr>
          <w:rFonts w:ascii="宋体" w:hAnsi="宋体" w:cs="Arial" w:hint="eastAsia"/>
          <w:color w:val="000000"/>
          <w:sz w:val="24"/>
          <w:szCs w:val="24"/>
        </w:rPr>
        <w:t>万元，已触发《基金合同》中约定的基金合同终止事由，基金管理人将</w:t>
      </w:r>
      <w:r>
        <w:rPr>
          <w:rFonts w:ascii="宋体" w:hAnsi="宋体" w:cs="Arial" w:hint="eastAsia"/>
          <w:color w:val="000000"/>
          <w:sz w:val="24"/>
          <w:szCs w:val="24"/>
        </w:rPr>
        <w:lastRenderedPageBreak/>
        <w:t>根据法律法规的规定及《基金合同》的约定对本基金进行基金财产清算，无需召开基金份额持有人大会。</w:t>
      </w:r>
    </w:p>
    <w:p w:rsidR="00000000" w:rsidRDefault="00E46008">
      <w:pPr>
        <w:spacing w:line="360" w:lineRule="auto"/>
        <w:ind w:firstLineChars="200" w:firstLine="480"/>
        <w:rPr>
          <w:rFonts w:ascii="宋体" w:hAnsi="宋体" w:cs="Arial" w:hint="eastAsia"/>
          <w:color w:val="000000"/>
          <w:sz w:val="24"/>
          <w:szCs w:val="24"/>
        </w:rPr>
      </w:pPr>
    </w:p>
    <w:p w:rsidR="00000000" w:rsidRDefault="00E46008" w:rsidP="00E46008">
      <w:pPr>
        <w:spacing w:line="360" w:lineRule="auto"/>
        <w:ind w:firstLineChars="200" w:firstLine="482"/>
        <w:outlineLvl w:val="0"/>
        <w:rPr>
          <w:rFonts w:ascii="宋体" w:hAnsi="宋体"/>
          <w:b/>
          <w:sz w:val="24"/>
          <w:szCs w:val="24"/>
        </w:rPr>
      </w:pPr>
      <w:r>
        <w:rPr>
          <w:rFonts w:ascii="宋体" w:hAnsi="宋体"/>
          <w:b/>
          <w:sz w:val="24"/>
          <w:szCs w:val="24"/>
        </w:rPr>
        <w:t>三、相关业务办理情况</w:t>
      </w:r>
      <w:r>
        <w:rPr>
          <w:rFonts w:ascii="宋体" w:hAnsi="宋体"/>
          <w:b/>
          <w:sz w:val="24"/>
          <w:szCs w:val="24"/>
        </w:rPr>
        <w:t xml:space="preserve"> </w:t>
      </w:r>
    </w:p>
    <w:p w:rsidR="00000000" w:rsidRDefault="00E46008">
      <w:pPr>
        <w:spacing w:line="360" w:lineRule="auto"/>
        <w:ind w:firstLineChars="200" w:firstLine="480"/>
        <w:rPr>
          <w:rFonts w:ascii="宋体" w:hAnsi="宋体" w:cs="Arial" w:hint="eastAsia"/>
          <w:color w:val="000000"/>
          <w:sz w:val="24"/>
          <w:szCs w:val="24"/>
        </w:rPr>
      </w:pPr>
      <w:r>
        <w:rPr>
          <w:rFonts w:ascii="宋体" w:hAnsi="宋体" w:cs="Arial" w:hint="eastAsia"/>
          <w:color w:val="000000"/>
          <w:sz w:val="24"/>
          <w:szCs w:val="24"/>
        </w:rPr>
        <w:t>本基金</w:t>
      </w:r>
      <w:r>
        <w:rPr>
          <w:rFonts w:ascii="宋体" w:hAnsi="宋体" w:cs="Arial" w:hint="eastAsia"/>
          <w:color w:val="000000"/>
          <w:sz w:val="24"/>
          <w:szCs w:val="24"/>
        </w:rPr>
        <w:t>自</w:t>
      </w:r>
      <w:r>
        <w:rPr>
          <w:rFonts w:ascii="宋体" w:hAnsi="宋体" w:cs="Arial" w:hint="eastAsia"/>
          <w:color w:val="000000"/>
          <w:sz w:val="24"/>
          <w:szCs w:val="24"/>
        </w:rPr>
        <w:t>202</w:t>
      </w:r>
      <w:r>
        <w:rPr>
          <w:rFonts w:ascii="宋体" w:hAnsi="宋体" w:cs="Arial" w:hint="eastAsia"/>
          <w:color w:val="000000"/>
          <w:sz w:val="24"/>
          <w:szCs w:val="24"/>
        </w:rPr>
        <w:t>4</w:t>
      </w:r>
      <w:r>
        <w:rPr>
          <w:rFonts w:ascii="宋体" w:hAnsi="宋体" w:cs="Arial" w:hint="eastAsia"/>
          <w:color w:val="000000"/>
          <w:sz w:val="24"/>
          <w:szCs w:val="24"/>
        </w:rPr>
        <w:t>年</w:t>
      </w:r>
      <w:r>
        <w:rPr>
          <w:rFonts w:ascii="宋体" w:hAnsi="宋体" w:cs="Arial" w:hint="eastAsia"/>
          <w:color w:val="000000"/>
          <w:sz w:val="24"/>
          <w:szCs w:val="24"/>
        </w:rPr>
        <w:t>6</w:t>
      </w:r>
      <w:r>
        <w:rPr>
          <w:rFonts w:ascii="宋体" w:hAnsi="宋体" w:cs="Arial" w:hint="eastAsia"/>
          <w:color w:val="000000"/>
          <w:sz w:val="24"/>
          <w:szCs w:val="24"/>
        </w:rPr>
        <w:t>月</w:t>
      </w:r>
      <w:r>
        <w:rPr>
          <w:rFonts w:ascii="宋体" w:hAnsi="宋体" w:cs="Arial" w:hint="eastAsia"/>
          <w:color w:val="000000"/>
          <w:sz w:val="24"/>
          <w:szCs w:val="24"/>
        </w:rPr>
        <w:t>14</w:t>
      </w:r>
      <w:r>
        <w:rPr>
          <w:rFonts w:ascii="宋体" w:hAnsi="宋体" w:cs="Arial" w:hint="eastAsia"/>
          <w:color w:val="000000"/>
          <w:sz w:val="24"/>
          <w:szCs w:val="24"/>
        </w:rPr>
        <w:t>日</w:t>
      </w:r>
      <w:r>
        <w:rPr>
          <w:rFonts w:ascii="宋体" w:hAnsi="宋体" w:cs="Arial" w:hint="eastAsia"/>
          <w:color w:val="000000"/>
          <w:sz w:val="24"/>
          <w:szCs w:val="24"/>
        </w:rPr>
        <w:t>起暂停申购</w:t>
      </w:r>
      <w:r>
        <w:rPr>
          <w:rFonts w:ascii="宋体" w:hAnsi="宋体" w:cs="Arial" w:hint="eastAsia"/>
          <w:color w:val="000000"/>
          <w:sz w:val="24"/>
          <w:szCs w:val="24"/>
        </w:rPr>
        <w:t>、转换转入及定期定额投资业务，但</w:t>
      </w:r>
      <w:r>
        <w:rPr>
          <w:rFonts w:ascii="宋体" w:hAnsi="宋体" w:cs="Arial" w:hint="eastAsia"/>
          <w:color w:val="000000"/>
          <w:sz w:val="24"/>
          <w:szCs w:val="24"/>
        </w:rPr>
        <w:t>基金份额持有人可以选择赎回、转换转出其持有的基金份额，</w:t>
      </w:r>
      <w:r>
        <w:rPr>
          <w:rFonts w:ascii="宋体" w:hAnsi="宋体" w:cs="Arial" w:hint="eastAsia"/>
          <w:color w:val="000000"/>
          <w:sz w:val="24"/>
          <w:szCs w:val="24"/>
        </w:rPr>
        <w:t>进入清算程序前，本基金仍按照《基金合同》的约定进行运作</w:t>
      </w:r>
      <w:r>
        <w:rPr>
          <w:rFonts w:ascii="宋体" w:hAnsi="宋体" w:cs="Arial" w:hint="eastAsia"/>
          <w:color w:val="000000"/>
          <w:sz w:val="24"/>
          <w:szCs w:val="24"/>
        </w:rPr>
        <w:t>。</w:t>
      </w:r>
    </w:p>
    <w:p w:rsidR="00000000" w:rsidRDefault="00E46008">
      <w:pPr>
        <w:spacing w:line="360" w:lineRule="auto"/>
        <w:ind w:firstLineChars="200" w:firstLine="480"/>
        <w:rPr>
          <w:rFonts w:ascii="宋体" w:hAnsi="宋体" w:cs="Arial" w:hint="eastAsia"/>
          <w:color w:val="000000"/>
          <w:sz w:val="24"/>
          <w:szCs w:val="24"/>
        </w:rPr>
      </w:pPr>
      <w:r>
        <w:rPr>
          <w:rFonts w:ascii="宋体" w:hAnsi="宋体" w:cs="Arial" w:hint="eastAsia"/>
          <w:color w:val="000000"/>
          <w:sz w:val="24"/>
          <w:szCs w:val="24"/>
        </w:rPr>
        <w:t>2024</w:t>
      </w:r>
      <w:r>
        <w:rPr>
          <w:rFonts w:ascii="宋体" w:hAnsi="宋体" w:cs="Arial" w:hint="eastAsia"/>
          <w:color w:val="000000"/>
          <w:sz w:val="24"/>
          <w:szCs w:val="24"/>
        </w:rPr>
        <w:t>年</w:t>
      </w:r>
      <w:r>
        <w:rPr>
          <w:rFonts w:ascii="宋体" w:hAnsi="宋体" w:cs="Arial" w:hint="eastAsia"/>
          <w:color w:val="000000"/>
          <w:sz w:val="24"/>
          <w:szCs w:val="24"/>
        </w:rPr>
        <w:t>6</w:t>
      </w:r>
      <w:r>
        <w:rPr>
          <w:rFonts w:ascii="宋体" w:hAnsi="宋体" w:cs="Arial" w:hint="eastAsia"/>
          <w:color w:val="000000"/>
          <w:sz w:val="24"/>
          <w:szCs w:val="24"/>
        </w:rPr>
        <w:t>月</w:t>
      </w:r>
      <w:r>
        <w:rPr>
          <w:rFonts w:ascii="宋体" w:hAnsi="宋体" w:cs="Arial" w:hint="eastAsia"/>
          <w:color w:val="000000"/>
          <w:sz w:val="24"/>
          <w:szCs w:val="24"/>
        </w:rPr>
        <w:t>28</w:t>
      </w:r>
      <w:r>
        <w:rPr>
          <w:rFonts w:ascii="宋体" w:hAnsi="宋体" w:cs="Arial" w:hint="eastAsia"/>
          <w:color w:val="000000"/>
          <w:sz w:val="24"/>
          <w:szCs w:val="24"/>
        </w:rPr>
        <w:t>日为本基金最后运作日，</w:t>
      </w:r>
      <w:r>
        <w:rPr>
          <w:rFonts w:ascii="宋体" w:hAnsi="宋体" w:cs="Arial" w:hint="eastAsia"/>
          <w:color w:val="000000"/>
          <w:sz w:val="24"/>
          <w:szCs w:val="24"/>
        </w:rPr>
        <w:t>自</w:t>
      </w:r>
      <w:r>
        <w:rPr>
          <w:rFonts w:ascii="宋体" w:hAnsi="宋体" w:cs="Arial" w:hint="eastAsia"/>
          <w:color w:val="000000"/>
          <w:sz w:val="24"/>
          <w:szCs w:val="24"/>
        </w:rPr>
        <w:t>202</w:t>
      </w:r>
      <w:r>
        <w:rPr>
          <w:rFonts w:ascii="宋体" w:hAnsi="宋体" w:cs="Arial" w:hint="eastAsia"/>
          <w:color w:val="000000"/>
          <w:sz w:val="24"/>
          <w:szCs w:val="24"/>
        </w:rPr>
        <w:t>4</w:t>
      </w:r>
      <w:r>
        <w:rPr>
          <w:rFonts w:ascii="宋体" w:hAnsi="宋体" w:cs="Arial" w:hint="eastAsia"/>
          <w:color w:val="000000"/>
          <w:sz w:val="24"/>
          <w:szCs w:val="24"/>
        </w:rPr>
        <w:t>年</w:t>
      </w:r>
      <w:r>
        <w:rPr>
          <w:rFonts w:ascii="宋体" w:hAnsi="宋体" w:cs="Arial" w:hint="eastAsia"/>
          <w:color w:val="000000"/>
          <w:sz w:val="24"/>
          <w:szCs w:val="24"/>
        </w:rPr>
        <w:t>6</w:t>
      </w:r>
      <w:r>
        <w:rPr>
          <w:rFonts w:ascii="宋体" w:hAnsi="宋体" w:cs="Arial" w:hint="eastAsia"/>
          <w:color w:val="000000"/>
          <w:sz w:val="24"/>
          <w:szCs w:val="24"/>
        </w:rPr>
        <w:t>月</w:t>
      </w:r>
      <w:r>
        <w:rPr>
          <w:rFonts w:ascii="宋体" w:hAnsi="宋体" w:cs="Arial" w:hint="eastAsia"/>
          <w:color w:val="000000"/>
          <w:sz w:val="24"/>
          <w:szCs w:val="24"/>
        </w:rPr>
        <w:t>29</w:t>
      </w:r>
      <w:r>
        <w:rPr>
          <w:rFonts w:ascii="宋体" w:hAnsi="宋体" w:cs="Arial" w:hint="eastAsia"/>
          <w:color w:val="000000"/>
          <w:sz w:val="24"/>
          <w:szCs w:val="24"/>
        </w:rPr>
        <w:t>日起</w:t>
      </w:r>
      <w:r>
        <w:rPr>
          <w:rFonts w:ascii="宋体" w:hAnsi="宋体" w:cs="Arial" w:hint="eastAsia"/>
          <w:color w:val="000000"/>
          <w:sz w:val="24"/>
          <w:szCs w:val="24"/>
        </w:rPr>
        <w:t>，</w:t>
      </w:r>
      <w:r>
        <w:rPr>
          <w:rFonts w:ascii="宋体" w:hAnsi="宋体" w:cs="Arial" w:hint="eastAsia"/>
          <w:color w:val="000000"/>
          <w:sz w:val="24"/>
          <w:szCs w:val="24"/>
        </w:rPr>
        <w:t>本基金</w:t>
      </w:r>
      <w:r>
        <w:rPr>
          <w:rFonts w:ascii="宋体" w:hAnsi="宋体" w:cs="Arial" w:hint="eastAsia"/>
          <w:color w:val="000000"/>
          <w:sz w:val="24"/>
          <w:szCs w:val="24"/>
        </w:rPr>
        <w:t>进入清算程序，</w:t>
      </w:r>
      <w:r>
        <w:rPr>
          <w:rFonts w:ascii="宋体" w:hAnsi="宋体" w:cs="Arial" w:hint="eastAsia"/>
          <w:color w:val="000000"/>
          <w:sz w:val="24"/>
          <w:szCs w:val="24"/>
        </w:rPr>
        <w:t>不恢复办理申购、转换转入及定期定额投资业务，</w:t>
      </w:r>
      <w:r>
        <w:rPr>
          <w:rFonts w:ascii="宋体" w:hAnsi="宋体" w:cs="Arial" w:hint="eastAsia"/>
          <w:color w:val="000000"/>
          <w:sz w:val="24"/>
          <w:szCs w:val="24"/>
        </w:rPr>
        <w:t>停止办理赎回</w:t>
      </w:r>
      <w:r>
        <w:rPr>
          <w:rFonts w:ascii="宋体" w:hAnsi="宋体" w:cs="Arial" w:hint="eastAsia"/>
          <w:color w:val="000000"/>
          <w:sz w:val="24"/>
          <w:szCs w:val="24"/>
        </w:rPr>
        <w:t>和</w:t>
      </w:r>
      <w:r>
        <w:rPr>
          <w:rFonts w:ascii="宋体" w:hAnsi="宋体" w:cs="Arial" w:hint="eastAsia"/>
          <w:color w:val="000000"/>
          <w:sz w:val="24"/>
          <w:szCs w:val="24"/>
        </w:rPr>
        <w:t>转换</w:t>
      </w:r>
      <w:r>
        <w:rPr>
          <w:rFonts w:ascii="宋体" w:hAnsi="宋体" w:cs="Arial" w:hint="eastAsia"/>
          <w:color w:val="000000"/>
          <w:sz w:val="24"/>
          <w:szCs w:val="24"/>
        </w:rPr>
        <w:t>转出等</w:t>
      </w:r>
      <w:r>
        <w:rPr>
          <w:rFonts w:ascii="宋体" w:hAnsi="宋体" w:cs="Arial" w:hint="eastAsia"/>
          <w:color w:val="000000"/>
          <w:sz w:val="24"/>
          <w:szCs w:val="24"/>
        </w:rPr>
        <w:t>业务。本基金进入清算程序后，停止收取基金管理费、基金托管费、基金销售服务费等费用。</w:t>
      </w:r>
    </w:p>
    <w:p w:rsidR="00000000" w:rsidRDefault="00E46008">
      <w:pPr>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本基金进入清算程序前，基金份额持有人申请赎回其持有的基金份额仍需按照《基金合同》的约定进行。</w:t>
      </w:r>
      <w:r>
        <w:rPr>
          <w:rFonts w:ascii="宋体" w:hAnsi="宋体" w:cs="Arial" w:hint="eastAsia"/>
          <w:color w:val="000000"/>
          <w:sz w:val="24"/>
          <w:szCs w:val="24"/>
        </w:rPr>
        <w:t>如果发生了巨额赎回等情形，基金管理人仍</w:t>
      </w:r>
      <w:r>
        <w:rPr>
          <w:rFonts w:ascii="宋体" w:hAnsi="宋体" w:cs="Arial" w:hint="eastAsia"/>
          <w:color w:val="000000"/>
          <w:sz w:val="24"/>
          <w:szCs w:val="24"/>
        </w:rPr>
        <w:t>可根据《基金合同》的约定及实际情况决定全额赎回、延缓支付赎回款项或部分延期赎回。</w:t>
      </w:r>
    </w:p>
    <w:p w:rsidR="00000000" w:rsidRDefault="00E46008">
      <w:pPr>
        <w:spacing w:line="360" w:lineRule="auto"/>
        <w:rPr>
          <w:rFonts w:ascii="宋体" w:hAnsi="宋体" w:cs="Arial"/>
          <w:color w:val="000000"/>
          <w:sz w:val="24"/>
          <w:szCs w:val="24"/>
        </w:rPr>
      </w:pPr>
    </w:p>
    <w:p w:rsidR="00000000" w:rsidRDefault="00E46008">
      <w:pPr>
        <w:spacing w:line="360" w:lineRule="auto"/>
        <w:outlineLvl w:val="0"/>
        <w:rPr>
          <w:rFonts w:ascii="宋体" w:hAnsi="宋体" w:cs="Arial"/>
          <w:b/>
          <w:color w:val="000000"/>
          <w:sz w:val="24"/>
          <w:szCs w:val="24"/>
        </w:rPr>
      </w:pPr>
      <w:r>
        <w:rPr>
          <w:rFonts w:ascii="宋体" w:hAnsi="宋体" w:cs="Arial" w:hint="eastAsia"/>
          <w:color w:val="000000"/>
          <w:sz w:val="24"/>
          <w:szCs w:val="24"/>
        </w:rPr>
        <w:t xml:space="preserve">　　</w:t>
      </w:r>
      <w:r>
        <w:rPr>
          <w:rFonts w:ascii="宋体" w:hAnsi="宋体" w:cs="Arial" w:hint="eastAsia"/>
          <w:b/>
          <w:color w:val="000000"/>
          <w:sz w:val="24"/>
          <w:szCs w:val="24"/>
        </w:rPr>
        <w:t>四、基金财产清算程序</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w:t>
      </w:r>
      <w:r>
        <w:rPr>
          <w:rFonts w:ascii="宋体" w:hAnsi="宋体" w:cs="Arial" w:hint="eastAsia"/>
          <w:color w:val="000000"/>
          <w:sz w:val="24"/>
          <w:szCs w:val="24"/>
        </w:rPr>
        <w:t>一</w:t>
      </w:r>
      <w:r>
        <w:rPr>
          <w:rFonts w:ascii="宋体" w:hAnsi="宋体" w:cs="Arial" w:hint="eastAsia"/>
          <w:color w:val="000000"/>
          <w:sz w:val="24"/>
          <w:szCs w:val="24"/>
        </w:rPr>
        <w:t>)</w:t>
      </w:r>
      <w:r>
        <w:rPr>
          <w:rFonts w:ascii="宋体" w:hAnsi="宋体" w:cs="Arial" w:hint="eastAsia"/>
          <w:color w:val="000000"/>
          <w:sz w:val="24"/>
          <w:szCs w:val="24"/>
        </w:rPr>
        <w:t>基金财产的清算</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、基金财产清算小组：自出现《基金合同》终止事由之日起</w:t>
      </w:r>
      <w:r>
        <w:rPr>
          <w:rFonts w:ascii="宋体" w:hAnsi="宋体" w:cs="Arial" w:hint="eastAsia"/>
          <w:color w:val="000000"/>
          <w:sz w:val="24"/>
          <w:szCs w:val="24"/>
        </w:rPr>
        <w:t>30</w:t>
      </w:r>
      <w:r>
        <w:rPr>
          <w:rFonts w:ascii="宋体" w:hAnsi="宋体" w:cs="Arial" w:hint="eastAsia"/>
          <w:color w:val="000000"/>
          <w:sz w:val="24"/>
          <w:szCs w:val="24"/>
        </w:rPr>
        <w:t>个工作日内成立清算小组，基金管理人组织基金财产清算小组并在中国证监会的监督下进行基金清算。</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、基金财产清算小组组成：基金财产清算小组成员由基金管理人、基金托管人、符合《证券法》规定的注册会计师、律师以及中国证监会指定的人员组成。</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基金财产清算小组可以聘用必要的工作人员。</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、基金财产清算小组职责：基金财产清算小组负</w:t>
      </w:r>
      <w:r>
        <w:rPr>
          <w:rFonts w:ascii="宋体" w:hAnsi="宋体" w:cs="Arial" w:hint="eastAsia"/>
          <w:color w:val="000000"/>
          <w:sz w:val="24"/>
          <w:szCs w:val="24"/>
        </w:rPr>
        <w:t>责基金财产的保管、清理、估价、变现和分配。基金财产清算小组可以依法进行必要的民事活动。</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、基金财产清算程序：</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1</w:t>
      </w:r>
      <w:r>
        <w:rPr>
          <w:rFonts w:ascii="宋体" w:hAnsi="宋体" w:cs="Arial" w:hint="eastAsia"/>
          <w:color w:val="000000"/>
          <w:sz w:val="24"/>
          <w:szCs w:val="24"/>
        </w:rPr>
        <w:t>）《基金合同》终止情形出现时，由基金财产清算小组统一接管基金；</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2</w:t>
      </w:r>
      <w:r>
        <w:rPr>
          <w:rFonts w:ascii="宋体" w:hAnsi="宋体" w:cs="Arial" w:hint="eastAsia"/>
          <w:color w:val="000000"/>
          <w:sz w:val="24"/>
          <w:szCs w:val="24"/>
        </w:rPr>
        <w:t>）对基金财产和债权债务进行清理和确认；</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lastRenderedPageBreak/>
        <w:t>（</w:t>
      </w:r>
      <w:r>
        <w:rPr>
          <w:rFonts w:ascii="宋体" w:hAnsi="宋体" w:cs="Arial" w:hint="eastAsia"/>
          <w:color w:val="000000"/>
          <w:sz w:val="24"/>
          <w:szCs w:val="24"/>
        </w:rPr>
        <w:t>3</w:t>
      </w:r>
      <w:r>
        <w:rPr>
          <w:rFonts w:ascii="宋体" w:hAnsi="宋体" w:cs="Arial" w:hint="eastAsia"/>
          <w:color w:val="000000"/>
          <w:sz w:val="24"/>
          <w:szCs w:val="24"/>
        </w:rPr>
        <w:t>）对基金财产进行估值和变现；</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4</w:t>
      </w:r>
      <w:r>
        <w:rPr>
          <w:rFonts w:ascii="宋体" w:hAnsi="宋体" w:cs="Arial" w:hint="eastAsia"/>
          <w:color w:val="000000"/>
          <w:sz w:val="24"/>
          <w:szCs w:val="24"/>
        </w:rPr>
        <w:t>）制作清算报告；</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5</w:t>
      </w:r>
      <w:r>
        <w:rPr>
          <w:rFonts w:ascii="宋体" w:hAnsi="宋体" w:cs="Arial" w:hint="eastAsia"/>
          <w:color w:val="000000"/>
          <w:sz w:val="24"/>
          <w:szCs w:val="24"/>
        </w:rPr>
        <w:t>）聘请会计师事务所对清算报告进行外部审计，聘请律师事务所对清算报告出具法律意见书；</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6</w:t>
      </w:r>
      <w:r>
        <w:rPr>
          <w:rFonts w:ascii="宋体" w:hAnsi="宋体" w:cs="Arial" w:hint="eastAsia"/>
          <w:color w:val="000000"/>
          <w:sz w:val="24"/>
          <w:szCs w:val="24"/>
        </w:rPr>
        <w:t>）将清算报告报中国证监会备案并公告；</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7</w:t>
      </w:r>
      <w:r>
        <w:rPr>
          <w:rFonts w:ascii="宋体" w:hAnsi="宋体" w:cs="Arial" w:hint="eastAsia"/>
          <w:color w:val="000000"/>
          <w:sz w:val="24"/>
          <w:szCs w:val="24"/>
        </w:rPr>
        <w:t>）对基金剩余财产进行分配。</w:t>
      </w:r>
    </w:p>
    <w:p w:rsidR="00000000" w:rsidRDefault="00E46008">
      <w:pPr>
        <w:spacing w:line="360" w:lineRule="auto"/>
        <w:ind w:firstLine="420"/>
        <w:rPr>
          <w:rFonts w:ascii="宋体" w:hAnsi="宋体" w:cs="Arial" w:hint="eastAsia"/>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、基金财产清算的期限为</w:t>
      </w:r>
      <w:r>
        <w:rPr>
          <w:rFonts w:ascii="宋体" w:hAnsi="宋体" w:cs="Arial" w:hint="eastAsia"/>
          <w:color w:val="000000"/>
          <w:sz w:val="24"/>
          <w:szCs w:val="24"/>
        </w:rPr>
        <w:t>6</w:t>
      </w:r>
      <w:r>
        <w:rPr>
          <w:rFonts w:ascii="宋体" w:hAnsi="宋体" w:cs="Arial" w:hint="eastAsia"/>
          <w:color w:val="000000"/>
          <w:sz w:val="24"/>
          <w:szCs w:val="24"/>
        </w:rPr>
        <w:t>个月，但因本基金所持证券的流动性受到限制而不</w:t>
      </w:r>
      <w:r>
        <w:rPr>
          <w:rFonts w:ascii="宋体" w:hAnsi="宋体" w:cs="Arial" w:hint="eastAsia"/>
          <w:color w:val="000000"/>
          <w:sz w:val="24"/>
          <w:szCs w:val="24"/>
        </w:rPr>
        <w:t>能及时变现的，清算期限相应顺延。</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w:t>
      </w:r>
      <w:r>
        <w:rPr>
          <w:rFonts w:ascii="宋体" w:hAnsi="宋体" w:cs="Arial" w:hint="eastAsia"/>
          <w:color w:val="000000"/>
          <w:sz w:val="24"/>
          <w:szCs w:val="24"/>
        </w:rPr>
        <w:t>二</w:t>
      </w:r>
      <w:r>
        <w:rPr>
          <w:rFonts w:ascii="宋体" w:hAnsi="宋体" w:cs="Arial" w:hint="eastAsia"/>
          <w:color w:val="000000"/>
          <w:sz w:val="24"/>
          <w:szCs w:val="24"/>
        </w:rPr>
        <w:t>)</w:t>
      </w:r>
      <w:r>
        <w:rPr>
          <w:rFonts w:ascii="宋体" w:hAnsi="宋体" w:cs="Arial" w:hint="eastAsia"/>
          <w:color w:val="000000"/>
          <w:sz w:val="24"/>
          <w:szCs w:val="24"/>
        </w:rPr>
        <w:t>清算费用</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清算费用是指基金财产清算小组在进行基金清算过程中发生的所有合理费用，清算费用由基金财产清算小组优先从基金财产中支付。</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w:t>
      </w:r>
      <w:r>
        <w:rPr>
          <w:rFonts w:ascii="宋体" w:hAnsi="宋体" w:cs="Arial" w:hint="eastAsia"/>
          <w:color w:val="000000"/>
          <w:sz w:val="24"/>
          <w:szCs w:val="24"/>
        </w:rPr>
        <w:t>三</w:t>
      </w:r>
      <w:r>
        <w:rPr>
          <w:rFonts w:ascii="宋体" w:hAnsi="宋体" w:cs="Arial" w:hint="eastAsia"/>
          <w:color w:val="000000"/>
          <w:sz w:val="24"/>
          <w:szCs w:val="24"/>
        </w:rPr>
        <w:t>)</w:t>
      </w:r>
      <w:r>
        <w:rPr>
          <w:rFonts w:ascii="宋体" w:hAnsi="宋体" w:cs="Arial" w:hint="eastAsia"/>
          <w:color w:val="000000"/>
          <w:sz w:val="24"/>
          <w:szCs w:val="24"/>
        </w:rPr>
        <w:t>基金财产清算剩余资产的分配</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依据基金财产清算的分配方案，将基金财产清算后的全部剩余资产扣除基金财产清算费用、交纳所欠税款并清偿基金债务后，按基金份额持有人持有的基金份额比例进行分配。</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w:t>
      </w:r>
      <w:r>
        <w:rPr>
          <w:rFonts w:ascii="宋体" w:hAnsi="宋体" w:cs="Arial" w:hint="eastAsia"/>
          <w:color w:val="000000"/>
          <w:sz w:val="24"/>
          <w:szCs w:val="24"/>
        </w:rPr>
        <w:t>四</w:t>
      </w:r>
      <w:r>
        <w:rPr>
          <w:rFonts w:ascii="宋体" w:hAnsi="宋体" w:cs="Arial" w:hint="eastAsia"/>
          <w:color w:val="000000"/>
          <w:sz w:val="24"/>
          <w:szCs w:val="24"/>
        </w:rPr>
        <w:t>)</w:t>
      </w:r>
      <w:r>
        <w:rPr>
          <w:rFonts w:ascii="宋体" w:hAnsi="宋体" w:cs="Arial" w:hint="eastAsia"/>
          <w:color w:val="000000"/>
          <w:sz w:val="24"/>
          <w:szCs w:val="24"/>
        </w:rPr>
        <w:t>基金财产清算的公告</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清算过程中的有关重大事项须及时公告；基金财产清算报告经会计师事务所审计并由律师事务所出具法律意见</w:t>
      </w:r>
      <w:r>
        <w:rPr>
          <w:rFonts w:ascii="宋体" w:hAnsi="宋体" w:cs="Arial" w:hint="eastAsia"/>
          <w:color w:val="000000"/>
          <w:sz w:val="24"/>
          <w:szCs w:val="24"/>
        </w:rPr>
        <w:t>书后报中国证监会备案并公告。基金财产清算公告于基金财产清算报告报中国证监会备案后</w:t>
      </w:r>
      <w:r>
        <w:rPr>
          <w:rFonts w:ascii="宋体" w:hAnsi="宋体" w:cs="Arial" w:hint="eastAsia"/>
          <w:color w:val="000000"/>
          <w:sz w:val="24"/>
          <w:szCs w:val="24"/>
        </w:rPr>
        <w:t>5</w:t>
      </w:r>
      <w:r>
        <w:rPr>
          <w:rFonts w:ascii="宋体" w:hAnsi="宋体" w:cs="Arial" w:hint="eastAsia"/>
          <w:color w:val="000000"/>
          <w:sz w:val="24"/>
          <w:szCs w:val="24"/>
        </w:rPr>
        <w:t>个工作日内由基金财产清算小组进行公告。</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w:t>
      </w:r>
      <w:r>
        <w:rPr>
          <w:rFonts w:ascii="宋体" w:hAnsi="宋体" w:cs="Arial" w:hint="eastAsia"/>
          <w:color w:val="000000"/>
          <w:sz w:val="24"/>
          <w:szCs w:val="24"/>
        </w:rPr>
        <w:t>五</w:t>
      </w:r>
      <w:r>
        <w:rPr>
          <w:rFonts w:ascii="宋体" w:hAnsi="宋体" w:cs="Arial" w:hint="eastAsia"/>
          <w:color w:val="000000"/>
          <w:sz w:val="24"/>
          <w:szCs w:val="24"/>
        </w:rPr>
        <w:t>)</w:t>
      </w:r>
      <w:r>
        <w:rPr>
          <w:rFonts w:ascii="宋体" w:hAnsi="宋体" w:cs="Arial" w:hint="eastAsia"/>
          <w:color w:val="000000"/>
          <w:sz w:val="24"/>
          <w:szCs w:val="24"/>
        </w:rPr>
        <w:t>基金财产清算账册及文件的保存</w:t>
      </w:r>
    </w:p>
    <w:p w:rsidR="00000000" w:rsidRDefault="00E46008">
      <w:pPr>
        <w:spacing w:line="360" w:lineRule="auto"/>
        <w:ind w:firstLine="465"/>
        <w:rPr>
          <w:rFonts w:ascii="宋体" w:hAnsi="宋体" w:cs="Arial" w:hint="eastAsia"/>
          <w:color w:val="000000"/>
          <w:sz w:val="24"/>
          <w:szCs w:val="24"/>
        </w:rPr>
      </w:pPr>
      <w:r>
        <w:rPr>
          <w:rFonts w:ascii="宋体" w:hAnsi="宋体" w:cs="Arial" w:hint="eastAsia"/>
          <w:color w:val="000000"/>
          <w:sz w:val="24"/>
          <w:szCs w:val="24"/>
        </w:rPr>
        <w:t>基金财产清算账册及有关文件由基金托管人保存，保存期限不低于法律法规的规定。</w:t>
      </w:r>
    </w:p>
    <w:p w:rsidR="00000000" w:rsidRDefault="00E46008">
      <w:pPr>
        <w:spacing w:line="360" w:lineRule="auto"/>
        <w:ind w:firstLine="465"/>
        <w:rPr>
          <w:rFonts w:ascii="宋体" w:hAnsi="宋体" w:cs="Arial"/>
          <w:color w:val="000000"/>
          <w:sz w:val="24"/>
          <w:szCs w:val="24"/>
        </w:rPr>
      </w:pPr>
    </w:p>
    <w:p w:rsidR="00000000" w:rsidRDefault="00E46008">
      <w:pPr>
        <w:spacing w:line="360" w:lineRule="auto"/>
        <w:outlineLvl w:val="0"/>
        <w:rPr>
          <w:rFonts w:ascii="宋体" w:hAnsi="宋体" w:cs="Arial"/>
          <w:b/>
          <w:color w:val="000000"/>
          <w:sz w:val="24"/>
          <w:szCs w:val="24"/>
        </w:rPr>
      </w:pPr>
      <w:r>
        <w:rPr>
          <w:rFonts w:ascii="宋体" w:hAnsi="宋体" w:cs="Arial" w:hint="eastAsia"/>
          <w:color w:val="000000"/>
          <w:sz w:val="24"/>
          <w:szCs w:val="24"/>
        </w:rPr>
        <w:t xml:space="preserve">　　</w:t>
      </w:r>
      <w:r>
        <w:rPr>
          <w:rFonts w:ascii="宋体" w:hAnsi="宋体" w:cs="Arial" w:hint="eastAsia"/>
          <w:b/>
          <w:color w:val="000000"/>
          <w:sz w:val="24"/>
          <w:szCs w:val="24"/>
        </w:rPr>
        <w:t>五、特别提示</w:t>
      </w:r>
    </w:p>
    <w:p w:rsidR="00000000" w:rsidRDefault="00E46008">
      <w:pPr>
        <w:spacing w:line="360" w:lineRule="auto"/>
        <w:ind w:firstLine="465"/>
        <w:rPr>
          <w:rFonts w:ascii="宋体" w:hAnsi="宋体" w:cs="Arial" w:hint="eastAsia"/>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、基金财产清算小组将按照法律法规、《基金合同》的规定以诚实信用、勤勉尽责的原则履行相关职责。</w:t>
      </w:r>
    </w:p>
    <w:p w:rsidR="00000000" w:rsidRDefault="00E46008">
      <w:pPr>
        <w:spacing w:line="360" w:lineRule="auto"/>
        <w:ind w:firstLine="465"/>
        <w:rPr>
          <w:rFonts w:ascii="宋体" w:hAnsi="宋体" w:cs="Arial" w:hint="eastAsia"/>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、清算期间，投资者将无法办理本基金的申购、赎回</w:t>
      </w:r>
      <w:r>
        <w:rPr>
          <w:rFonts w:ascii="宋体" w:hAnsi="宋体" w:cs="Arial" w:hint="eastAsia"/>
          <w:color w:val="000000"/>
          <w:sz w:val="24"/>
          <w:szCs w:val="24"/>
        </w:rPr>
        <w:t>、</w:t>
      </w:r>
      <w:r>
        <w:rPr>
          <w:rFonts w:ascii="宋体" w:hAnsi="宋体" w:cs="Arial" w:hint="eastAsia"/>
          <w:color w:val="000000"/>
          <w:sz w:val="24"/>
          <w:szCs w:val="24"/>
        </w:rPr>
        <w:t>转换</w:t>
      </w:r>
      <w:r>
        <w:rPr>
          <w:rFonts w:ascii="宋体" w:hAnsi="宋体" w:cs="Arial" w:hint="eastAsia"/>
          <w:color w:val="000000"/>
          <w:sz w:val="24"/>
          <w:szCs w:val="24"/>
        </w:rPr>
        <w:t>及定期定额投资等</w:t>
      </w:r>
      <w:r>
        <w:rPr>
          <w:rFonts w:ascii="宋体" w:hAnsi="宋体" w:cs="Arial" w:hint="eastAsia"/>
          <w:color w:val="000000"/>
          <w:sz w:val="24"/>
          <w:szCs w:val="24"/>
        </w:rPr>
        <w:t>业务，敬请投资者关注相应的流动性风险。</w:t>
      </w:r>
    </w:p>
    <w:p w:rsidR="00000000" w:rsidRDefault="00E46008">
      <w:pPr>
        <w:spacing w:line="360" w:lineRule="auto"/>
        <w:ind w:firstLine="465"/>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、基金财产清算结果将在报中国证监会备案后公告，</w:t>
      </w:r>
      <w:r>
        <w:rPr>
          <w:rFonts w:ascii="宋体" w:hAnsi="宋体" w:cs="Arial" w:hint="eastAsia"/>
          <w:color w:val="000000"/>
          <w:sz w:val="24"/>
          <w:szCs w:val="24"/>
        </w:rPr>
        <w:t>在基金财产清算</w:t>
      </w:r>
      <w:r>
        <w:rPr>
          <w:rFonts w:ascii="宋体" w:hAnsi="宋体" w:cs="Arial" w:hint="eastAsia"/>
          <w:color w:val="000000"/>
          <w:sz w:val="24"/>
          <w:szCs w:val="24"/>
        </w:rPr>
        <w:t>小</w:t>
      </w:r>
      <w:r>
        <w:rPr>
          <w:rFonts w:ascii="宋体" w:hAnsi="宋体" w:cs="Arial" w:hint="eastAsia"/>
          <w:color w:val="000000"/>
          <w:sz w:val="24"/>
          <w:szCs w:val="24"/>
        </w:rPr>
        <w:t>组履行完毕清算程序后，基金财产将遵照法律法规、《基金合同》等规定，及时进行分配，敬请投资者留意。</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4</w:t>
      </w:r>
      <w:r>
        <w:rPr>
          <w:rFonts w:ascii="宋体" w:hAnsi="宋体" w:cs="Arial" w:hint="eastAsia"/>
          <w:color w:val="000000"/>
          <w:sz w:val="24"/>
          <w:szCs w:val="24"/>
        </w:rPr>
        <w:t>、若因本基金所持证券的流动性受到限制而不能及时变现，则本基金清算期限可能需要相应顺延。</w:t>
      </w:r>
    </w:p>
    <w:p w:rsidR="00000000" w:rsidRDefault="00E46008">
      <w:pPr>
        <w:spacing w:line="360"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5</w:t>
      </w:r>
      <w:r>
        <w:rPr>
          <w:rFonts w:ascii="宋体" w:hAnsi="宋体" w:cs="Arial" w:hint="eastAsia"/>
          <w:color w:val="000000"/>
          <w:sz w:val="24"/>
          <w:szCs w:val="24"/>
        </w:rPr>
        <w:t>、本公告的解释权归中银国际证券股份有限公司所有。投资者欲了解详情</w:t>
      </w:r>
      <w:r>
        <w:rPr>
          <w:rFonts w:ascii="宋体" w:hAnsi="宋体" w:cs="Arial" w:hint="eastAsia"/>
          <w:color w:val="000000"/>
          <w:sz w:val="24"/>
          <w:szCs w:val="24"/>
        </w:rPr>
        <w:t>,</w:t>
      </w:r>
      <w:r>
        <w:rPr>
          <w:rFonts w:ascii="宋体" w:hAnsi="宋体" w:cs="Arial" w:hint="eastAsia"/>
          <w:color w:val="000000"/>
          <w:sz w:val="24"/>
          <w:szCs w:val="24"/>
        </w:rPr>
        <w:t>可拨打本基金管理人的客户服务电话（</w:t>
      </w:r>
      <w:r>
        <w:rPr>
          <w:rFonts w:ascii="宋体" w:hAnsi="宋体" w:cs="Arial" w:hint="eastAsia"/>
          <w:color w:val="000000"/>
          <w:sz w:val="24"/>
          <w:szCs w:val="24"/>
        </w:rPr>
        <w:t>956026 /400-620-8888</w:t>
      </w:r>
      <w:r>
        <w:rPr>
          <w:rFonts w:ascii="宋体" w:hAnsi="宋体" w:cs="Arial" w:hint="eastAsia"/>
          <w:color w:val="000000"/>
          <w:sz w:val="24"/>
          <w:szCs w:val="24"/>
        </w:rPr>
        <w:t>（免长途通话费））进行咨询。</w:t>
      </w:r>
    </w:p>
    <w:p w:rsidR="00000000" w:rsidRDefault="00E46008">
      <w:pPr>
        <w:spacing w:line="360" w:lineRule="auto"/>
        <w:jc w:val="left"/>
        <w:rPr>
          <w:rFonts w:ascii="宋体" w:hAnsi="宋体" w:cs="Arial"/>
          <w:color w:val="000000"/>
          <w:sz w:val="24"/>
          <w:szCs w:val="24"/>
        </w:rPr>
      </w:pPr>
      <w:r>
        <w:rPr>
          <w:rFonts w:ascii="宋体" w:hAnsi="宋体" w:cs="Arial" w:hint="eastAsia"/>
          <w:color w:val="000000"/>
          <w:sz w:val="24"/>
          <w:szCs w:val="24"/>
        </w:rPr>
        <w:t xml:space="preserve">　　特此公告。</w:t>
      </w:r>
    </w:p>
    <w:p w:rsidR="00000000" w:rsidRDefault="00E46008">
      <w:pPr>
        <w:spacing w:line="360" w:lineRule="auto"/>
        <w:rPr>
          <w:rFonts w:ascii="宋体" w:hAnsi="宋体" w:cs="Arial"/>
          <w:color w:val="000000"/>
          <w:sz w:val="24"/>
          <w:szCs w:val="24"/>
        </w:rPr>
      </w:pPr>
    </w:p>
    <w:p w:rsidR="00000000" w:rsidRDefault="00E46008">
      <w:pPr>
        <w:spacing w:line="360" w:lineRule="auto"/>
        <w:jc w:val="right"/>
        <w:rPr>
          <w:rFonts w:ascii="宋体" w:hAnsi="宋体" w:cs="Arial"/>
          <w:color w:val="000000"/>
          <w:sz w:val="24"/>
          <w:szCs w:val="24"/>
        </w:rPr>
      </w:pPr>
      <w:r>
        <w:rPr>
          <w:rFonts w:ascii="宋体" w:hAnsi="宋体" w:cs="Arial" w:hint="eastAsia"/>
          <w:color w:val="000000"/>
          <w:sz w:val="24"/>
          <w:szCs w:val="24"/>
        </w:rPr>
        <w:t xml:space="preserve">　　中银国际证券股份有限公司</w:t>
      </w:r>
    </w:p>
    <w:p w:rsidR="00000000" w:rsidRDefault="00E46008">
      <w:pPr>
        <w:spacing w:line="360" w:lineRule="auto"/>
        <w:jc w:val="right"/>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20</w:t>
      </w:r>
      <w:r>
        <w:rPr>
          <w:rFonts w:ascii="宋体" w:hAnsi="宋体" w:cs="Arial" w:hint="eastAsia"/>
          <w:color w:val="000000"/>
          <w:sz w:val="24"/>
          <w:szCs w:val="24"/>
        </w:rPr>
        <w:t>24</w:t>
      </w:r>
      <w:r>
        <w:rPr>
          <w:rFonts w:ascii="宋体" w:hAnsi="宋体" w:cs="Arial" w:hint="eastAsia"/>
          <w:color w:val="000000"/>
          <w:sz w:val="24"/>
          <w:szCs w:val="24"/>
        </w:rPr>
        <w:t>年</w:t>
      </w:r>
      <w:r>
        <w:rPr>
          <w:rFonts w:ascii="宋体" w:hAnsi="宋体" w:cs="Arial" w:hint="eastAsia"/>
          <w:color w:val="000000"/>
          <w:sz w:val="24"/>
          <w:szCs w:val="24"/>
        </w:rPr>
        <w:t>6</w:t>
      </w:r>
      <w:r>
        <w:rPr>
          <w:rFonts w:ascii="宋体" w:hAnsi="宋体" w:cs="Arial" w:hint="eastAsia"/>
          <w:color w:val="000000"/>
          <w:sz w:val="24"/>
          <w:szCs w:val="24"/>
        </w:rPr>
        <w:t>月</w:t>
      </w:r>
      <w:r>
        <w:rPr>
          <w:rFonts w:ascii="宋体" w:hAnsi="宋体" w:cs="Arial" w:hint="eastAsia"/>
          <w:color w:val="000000"/>
          <w:sz w:val="24"/>
          <w:szCs w:val="24"/>
        </w:rPr>
        <w:t>18</w:t>
      </w:r>
      <w:r>
        <w:rPr>
          <w:rFonts w:ascii="宋体" w:hAnsi="宋体" w:cs="Arial" w:hint="eastAsia"/>
          <w:color w:val="000000"/>
          <w:sz w:val="24"/>
          <w:szCs w:val="24"/>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6BC9"/>
    <w:rsid w:val="000239C2"/>
    <w:rsid w:val="0002465B"/>
    <w:rsid w:val="000E3A60"/>
    <w:rsid w:val="000E6FBF"/>
    <w:rsid w:val="000F28CD"/>
    <w:rsid w:val="00113CCD"/>
    <w:rsid w:val="00126C09"/>
    <w:rsid w:val="00136BC9"/>
    <w:rsid w:val="001B3532"/>
    <w:rsid w:val="001E4D0E"/>
    <w:rsid w:val="002407EC"/>
    <w:rsid w:val="00281883"/>
    <w:rsid w:val="00281B07"/>
    <w:rsid w:val="002829CC"/>
    <w:rsid w:val="002E38A2"/>
    <w:rsid w:val="002F1F77"/>
    <w:rsid w:val="00312C76"/>
    <w:rsid w:val="003221B3"/>
    <w:rsid w:val="003473CF"/>
    <w:rsid w:val="003A00AA"/>
    <w:rsid w:val="003A18C7"/>
    <w:rsid w:val="003A4C76"/>
    <w:rsid w:val="00437EB3"/>
    <w:rsid w:val="004B4A2F"/>
    <w:rsid w:val="005111D4"/>
    <w:rsid w:val="00540EAC"/>
    <w:rsid w:val="00576485"/>
    <w:rsid w:val="00584982"/>
    <w:rsid w:val="00596193"/>
    <w:rsid w:val="005E0152"/>
    <w:rsid w:val="0063401C"/>
    <w:rsid w:val="00644D17"/>
    <w:rsid w:val="00656DE3"/>
    <w:rsid w:val="00660BE9"/>
    <w:rsid w:val="00676F07"/>
    <w:rsid w:val="006D440E"/>
    <w:rsid w:val="006D5CBC"/>
    <w:rsid w:val="00727189"/>
    <w:rsid w:val="007A367D"/>
    <w:rsid w:val="007E142D"/>
    <w:rsid w:val="00815CF1"/>
    <w:rsid w:val="00866FCC"/>
    <w:rsid w:val="00897070"/>
    <w:rsid w:val="008A02D1"/>
    <w:rsid w:val="009E3549"/>
    <w:rsid w:val="00A03B4A"/>
    <w:rsid w:val="00A53BE7"/>
    <w:rsid w:val="00A821FD"/>
    <w:rsid w:val="00AD24BC"/>
    <w:rsid w:val="00B308FF"/>
    <w:rsid w:val="00B84326"/>
    <w:rsid w:val="00BE35A9"/>
    <w:rsid w:val="00BF185F"/>
    <w:rsid w:val="00CE5578"/>
    <w:rsid w:val="00CF7BCA"/>
    <w:rsid w:val="00D06358"/>
    <w:rsid w:val="00D168A2"/>
    <w:rsid w:val="00D41999"/>
    <w:rsid w:val="00E46008"/>
    <w:rsid w:val="00E4656C"/>
    <w:rsid w:val="00E54593"/>
    <w:rsid w:val="00EA201D"/>
    <w:rsid w:val="00EC47B6"/>
    <w:rsid w:val="00EE7545"/>
    <w:rsid w:val="00F44583"/>
    <w:rsid w:val="00FA1731"/>
    <w:rsid w:val="00FB2BF2"/>
    <w:rsid w:val="014E5C1B"/>
    <w:rsid w:val="02E30EB0"/>
    <w:rsid w:val="0309080C"/>
    <w:rsid w:val="071D5C8E"/>
    <w:rsid w:val="0B7216D3"/>
    <w:rsid w:val="0DD002B9"/>
    <w:rsid w:val="0FC72972"/>
    <w:rsid w:val="113951ED"/>
    <w:rsid w:val="1222088C"/>
    <w:rsid w:val="128F287A"/>
    <w:rsid w:val="13333E4C"/>
    <w:rsid w:val="173C7D6D"/>
    <w:rsid w:val="179A1EBE"/>
    <w:rsid w:val="1C784D9B"/>
    <w:rsid w:val="1D4A73B8"/>
    <w:rsid w:val="1E310BF1"/>
    <w:rsid w:val="1F3D76D1"/>
    <w:rsid w:val="200E379E"/>
    <w:rsid w:val="20A626F8"/>
    <w:rsid w:val="23BE7B11"/>
    <w:rsid w:val="242C7348"/>
    <w:rsid w:val="24497D13"/>
    <w:rsid w:val="24AA4A76"/>
    <w:rsid w:val="24B42B03"/>
    <w:rsid w:val="281C63EA"/>
    <w:rsid w:val="28B563E5"/>
    <w:rsid w:val="297A035F"/>
    <w:rsid w:val="30520573"/>
    <w:rsid w:val="31193503"/>
    <w:rsid w:val="3639396B"/>
    <w:rsid w:val="366343B8"/>
    <w:rsid w:val="39B446A6"/>
    <w:rsid w:val="3B061DA3"/>
    <w:rsid w:val="3D271561"/>
    <w:rsid w:val="42062D61"/>
    <w:rsid w:val="44662C9E"/>
    <w:rsid w:val="44EB166E"/>
    <w:rsid w:val="472C1173"/>
    <w:rsid w:val="47496783"/>
    <w:rsid w:val="48612CE1"/>
    <w:rsid w:val="4AB351F0"/>
    <w:rsid w:val="4B9A7C00"/>
    <w:rsid w:val="4BE27054"/>
    <w:rsid w:val="51FD7691"/>
    <w:rsid w:val="554A11C7"/>
    <w:rsid w:val="55843F38"/>
    <w:rsid w:val="55991424"/>
    <w:rsid w:val="5634522F"/>
    <w:rsid w:val="56E21A2F"/>
    <w:rsid w:val="5731251C"/>
    <w:rsid w:val="598B768B"/>
    <w:rsid w:val="59C25822"/>
    <w:rsid w:val="5BDC24F8"/>
    <w:rsid w:val="5C162C85"/>
    <w:rsid w:val="5C3A732E"/>
    <w:rsid w:val="6284202E"/>
    <w:rsid w:val="638A3A79"/>
    <w:rsid w:val="688B0CC9"/>
    <w:rsid w:val="69BA1475"/>
    <w:rsid w:val="6F54553D"/>
    <w:rsid w:val="708E0487"/>
    <w:rsid w:val="726E4138"/>
    <w:rsid w:val="73F310E9"/>
    <w:rsid w:val="745832AA"/>
    <w:rsid w:val="74C95733"/>
    <w:rsid w:val="75FB149C"/>
    <w:rsid w:val="785A0CEE"/>
    <w:rsid w:val="7E7F7F16"/>
    <w:rsid w:val="7F8E44C7"/>
    <w:rsid w:val="7F9C28B2"/>
    <w:rsid w:val="99DC9F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character" w:customStyle="1" w:styleId="Char">
    <w:name w:val="文档结构图 Char"/>
    <w:basedOn w:val="a0"/>
    <w:link w:val="a3"/>
    <w:uiPriority w:val="99"/>
    <w:semiHidden/>
    <w:rPr>
      <w:rFonts w:ascii="宋体"/>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basedOn w:val="a0"/>
    <w:link w:val="a4"/>
    <w:uiPriority w:val="99"/>
    <w:semiHidden/>
  </w:style>
  <w:style w:type="paragraph" w:styleId="a5">
    <w:name w:val="Balloon Text"/>
    <w:basedOn w:val="a"/>
    <w:link w:val="Char1"/>
    <w:uiPriority w:val="99"/>
    <w:unhideWhenUsed/>
    <w:rPr>
      <w:sz w:val="18"/>
      <w:szCs w:val="18"/>
    </w:rPr>
  </w:style>
  <w:style w:type="character" w:customStyle="1" w:styleId="Char1">
    <w:name w:val="批注框文本 Char"/>
    <w:basedOn w:val="a0"/>
    <w:link w:val="a5"/>
    <w:uiPriority w:val="99"/>
    <w:semiHidden/>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basedOn w:val="a0"/>
    <w:link w:val="a6"/>
    <w:uiPriority w:val="99"/>
    <w:semiHidden/>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Pr>
      <w:sz w:val="18"/>
      <w:szCs w:val="18"/>
    </w:rPr>
  </w:style>
  <w:style w:type="paragraph" w:styleId="a8">
    <w:name w:val="Normal (Web)"/>
    <w:basedOn w:val="a"/>
    <w:uiPriority w:val="99"/>
    <w:unhideWhenUsed/>
    <w:pPr>
      <w:spacing w:before="100" w:beforeAutospacing="1" w:after="100" w:afterAutospacing="1"/>
      <w:jc w:val="left"/>
    </w:pPr>
    <w:rPr>
      <w:kern w:val="0"/>
      <w:sz w:val="24"/>
    </w:rPr>
  </w:style>
  <w:style w:type="paragraph" w:styleId="a9">
    <w:name w:val="annotation subject"/>
    <w:basedOn w:val="a4"/>
    <w:next w:val="a4"/>
    <w:link w:val="Char4"/>
    <w:uiPriority w:val="99"/>
    <w:unhideWhenUsed/>
    <w:rPr>
      <w:b/>
      <w:bCs/>
    </w:rPr>
  </w:style>
  <w:style w:type="character" w:customStyle="1" w:styleId="Char4">
    <w:name w:val="批注主题 Char"/>
    <w:basedOn w:val="Char0"/>
    <w:link w:val="a9"/>
    <w:uiPriority w:val="99"/>
    <w:semiHidden/>
    <w:rPr>
      <w:b/>
      <w:bCs/>
    </w:rPr>
  </w:style>
  <w:style w:type="character" w:styleId="aa">
    <w:name w:val="annotation reference"/>
    <w:basedOn w:val="a0"/>
    <w:uiPriority w:val="99"/>
    <w:unhideWhenUsed/>
    <w:rPr>
      <w:sz w:val="21"/>
      <w:szCs w:val="21"/>
    </w:rPr>
  </w:style>
  <w:style w:type="paragraph" w:styleId="ab">
    <w:name w:val="Revision"/>
    <w:uiPriority w:val="99"/>
    <w:semiHidden/>
    <w:rPr>
      <w:kern w:val="2"/>
      <w:sz w:val="21"/>
      <w:szCs w:val="22"/>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1938</Characters>
  <Application>Microsoft Office Word</Application>
  <DocSecurity>4</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郜梅梅</dc:creator>
  <cp:keywords/>
  <cp:lastModifiedBy>ZHONGM</cp:lastModifiedBy>
  <cp:revision>2</cp:revision>
  <dcterms:created xsi:type="dcterms:W3CDTF">2024-06-17T16:01:00Z</dcterms:created>
  <dcterms:modified xsi:type="dcterms:W3CDTF">2024-06-17T16:01:00Z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52C12306D8C546EC8D183A05E3AF9062</vt:lpwstr>
  </property>
</Properties>
</file>