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943" w:rsidRDefault="0012317E">
      <w:pPr>
        <w:widowControl/>
        <w:shd w:val="clear" w:color="auto" w:fill="FFFFFF"/>
        <w:spacing w:before="345" w:after="100" w:afterAutospacing="1"/>
        <w:jc w:val="center"/>
        <w:outlineLvl w:val="1"/>
        <w:rPr>
          <w:rFonts w:ascii="Verdana" w:eastAsia="宋体" w:hAnsi="Verdana" w:cs="宋体"/>
          <w:b/>
          <w:bCs/>
          <w:kern w:val="36"/>
          <w:sz w:val="39"/>
          <w:szCs w:val="39"/>
        </w:rPr>
      </w:pPr>
      <w:r>
        <w:rPr>
          <w:rFonts w:ascii="Verdana" w:eastAsia="宋体" w:hAnsi="Verdana" w:cs="宋体" w:hint="eastAsia"/>
          <w:b/>
          <w:bCs/>
          <w:kern w:val="36"/>
          <w:sz w:val="39"/>
          <w:szCs w:val="39"/>
        </w:rPr>
        <w:t>富荣</w:t>
      </w:r>
      <w:r>
        <w:rPr>
          <w:rFonts w:ascii="Verdana" w:eastAsia="宋体" w:hAnsi="Verdana" w:cs="宋体"/>
          <w:b/>
          <w:bCs/>
          <w:kern w:val="36"/>
          <w:sz w:val="39"/>
          <w:szCs w:val="39"/>
        </w:rPr>
        <w:t>基金管理有限公司关于旗下</w:t>
      </w:r>
      <w:r>
        <w:rPr>
          <w:rFonts w:asciiTheme="majorEastAsia" w:eastAsiaTheme="majorEastAsia" w:hAnsiTheme="majorEastAsia" w:cs="宋体"/>
          <w:b/>
          <w:bCs/>
          <w:kern w:val="36"/>
          <w:sz w:val="39"/>
          <w:szCs w:val="39"/>
        </w:rPr>
        <w:t>部分</w:t>
      </w:r>
      <w:r>
        <w:rPr>
          <w:rFonts w:ascii="Verdana" w:eastAsia="宋体" w:hAnsi="Verdana" w:cs="宋体"/>
          <w:b/>
          <w:bCs/>
          <w:kern w:val="36"/>
          <w:sz w:val="39"/>
          <w:szCs w:val="39"/>
        </w:rPr>
        <w:t>基金新增销售机构</w:t>
      </w:r>
      <w:r>
        <w:rPr>
          <w:rFonts w:ascii="Verdana" w:eastAsia="宋体" w:hAnsi="Verdana" w:cs="宋体" w:hint="eastAsia"/>
          <w:b/>
          <w:bCs/>
          <w:kern w:val="36"/>
          <w:sz w:val="39"/>
          <w:szCs w:val="39"/>
        </w:rPr>
        <w:t>、</w:t>
      </w:r>
      <w:r>
        <w:rPr>
          <w:rFonts w:ascii="Verdana" w:eastAsia="宋体" w:hAnsi="Verdana" w:cs="宋体"/>
          <w:b/>
          <w:bCs/>
          <w:kern w:val="36"/>
          <w:sz w:val="39"/>
          <w:szCs w:val="39"/>
        </w:rPr>
        <w:t>开通基金定期定额投资业务和基金转换业务</w:t>
      </w:r>
      <w:r>
        <w:rPr>
          <w:rFonts w:ascii="Verdana" w:eastAsia="宋体" w:hAnsi="Verdana" w:cs="宋体" w:hint="eastAsia"/>
          <w:b/>
          <w:bCs/>
          <w:kern w:val="36"/>
          <w:sz w:val="39"/>
          <w:szCs w:val="39"/>
        </w:rPr>
        <w:t>并参加申购及定期定额投资申购费率优惠活动的公告</w:t>
      </w:r>
    </w:p>
    <w:p w:rsidR="005A2943" w:rsidRDefault="0012317E">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为更好地满足广大投资者的理财需求，根据富荣基金管理有限公司（以下简称“本公司”）与各销售机构协商一致，自</w:t>
      </w:r>
      <w:r>
        <w:rPr>
          <w:rFonts w:ascii="宋体" w:eastAsia="宋体" w:hAnsi="宋体" w:cs="Calibri"/>
          <w:color w:val="000000"/>
          <w:kern w:val="0"/>
          <w:szCs w:val="21"/>
        </w:rPr>
        <w:t>20</w:t>
      </w:r>
      <w:r>
        <w:rPr>
          <w:rFonts w:ascii="宋体" w:eastAsia="宋体" w:hAnsi="宋体" w:cs="Calibri" w:hint="eastAsia"/>
          <w:color w:val="000000"/>
          <w:kern w:val="0"/>
          <w:szCs w:val="21"/>
        </w:rPr>
        <w:t>2</w:t>
      </w:r>
      <w:r>
        <w:rPr>
          <w:rFonts w:ascii="宋体" w:eastAsia="宋体" w:hAnsi="宋体" w:cs="Calibri" w:hint="eastAsia"/>
          <w:color w:val="000000"/>
          <w:kern w:val="0"/>
          <w:szCs w:val="21"/>
        </w:rPr>
        <w:t>4</w:t>
      </w:r>
      <w:r>
        <w:rPr>
          <w:rFonts w:ascii="宋体" w:eastAsia="宋体" w:hAnsi="宋体" w:cs="Calibri" w:hint="eastAsia"/>
          <w:color w:val="000000"/>
          <w:kern w:val="0"/>
          <w:szCs w:val="21"/>
        </w:rPr>
        <w:t>年</w:t>
      </w:r>
      <w:r>
        <w:rPr>
          <w:rFonts w:ascii="宋体" w:eastAsia="宋体" w:hAnsi="宋体" w:cs="Calibri" w:hint="eastAsia"/>
          <w:color w:val="000000"/>
          <w:kern w:val="0"/>
          <w:szCs w:val="21"/>
        </w:rPr>
        <w:t>6</w:t>
      </w:r>
      <w:r>
        <w:rPr>
          <w:rFonts w:ascii="宋体" w:eastAsia="宋体" w:hAnsi="宋体" w:cs="Calibri" w:hint="eastAsia"/>
          <w:color w:val="000000"/>
          <w:kern w:val="0"/>
          <w:szCs w:val="21"/>
        </w:rPr>
        <w:t>月</w:t>
      </w:r>
      <w:r>
        <w:rPr>
          <w:rFonts w:ascii="宋体" w:eastAsia="宋体" w:hAnsi="宋体" w:cs="Calibri" w:hint="eastAsia"/>
          <w:color w:val="000000"/>
          <w:kern w:val="0"/>
          <w:szCs w:val="21"/>
        </w:rPr>
        <w:t>17</w:t>
      </w:r>
      <w:r>
        <w:rPr>
          <w:rFonts w:ascii="宋体" w:eastAsia="宋体" w:hAnsi="宋体" w:cs="Calibri" w:hint="eastAsia"/>
          <w:color w:val="000000"/>
          <w:kern w:val="0"/>
          <w:szCs w:val="21"/>
        </w:rPr>
        <w:t>日起本公司旗下部分基金新增销售机构并开通基金“定期定额投资业务”和基金“转换业务</w:t>
      </w:r>
      <w:r>
        <w:rPr>
          <w:rFonts w:ascii="宋体" w:eastAsia="宋体" w:hAnsi="宋体" w:cs="Calibri"/>
          <w:color w:val="000000"/>
          <w:kern w:val="0"/>
          <w:szCs w:val="21"/>
        </w:rPr>
        <w:t>”</w:t>
      </w:r>
      <w:r>
        <w:rPr>
          <w:rFonts w:ascii="宋体" w:eastAsia="宋体" w:hAnsi="宋体" w:cs="Calibri" w:hint="eastAsia"/>
          <w:color w:val="000000"/>
          <w:kern w:val="0"/>
          <w:szCs w:val="21"/>
        </w:rPr>
        <w:t>，具体的业务流程、办理时间和办理方式以销售机构的规定为准。同时，本公司旗下部分基金参加销售机构开展的基金申购及定期定额投资申购费率优惠活</w:t>
      </w:r>
      <w:bookmarkStart w:id="0" w:name="_GoBack"/>
      <w:bookmarkEnd w:id="0"/>
      <w:r>
        <w:rPr>
          <w:rFonts w:ascii="宋体" w:eastAsia="宋体" w:hAnsi="宋体" w:cs="Calibri" w:hint="eastAsia"/>
          <w:color w:val="000000"/>
          <w:kern w:val="0"/>
          <w:szCs w:val="21"/>
        </w:rPr>
        <w:t>动，具体的活动时间、优惠费率以销售机构的规定为准。现将相关事项公告如下：</w:t>
      </w:r>
    </w:p>
    <w:p w:rsidR="005A2943" w:rsidRDefault="0012317E">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color w:val="000000"/>
          <w:kern w:val="0"/>
          <w:szCs w:val="21"/>
        </w:rPr>
        <w:t> </w:t>
      </w:r>
    </w:p>
    <w:p w:rsidR="005A2943" w:rsidRDefault="0012317E">
      <w:pPr>
        <w:widowControl/>
        <w:shd w:val="clear" w:color="auto" w:fill="FFFFFF"/>
        <w:spacing w:line="360" w:lineRule="auto"/>
        <w:ind w:firstLineChars="200"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一、适用基金</w:t>
      </w:r>
    </w:p>
    <w:p w:rsidR="005A2943" w:rsidRDefault="0012317E">
      <w:pPr>
        <w:widowControl/>
        <w:shd w:val="clear" w:color="auto" w:fill="FFFFFF"/>
        <w:spacing w:line="360" w:lineRule="auto"/>
        <w:ind w:firstLine="480"/>
        <w:jc w:val="left"/>
        <w:rPr>
          <w:rFonts w:ascii="宋体" w:eastAsia="宋体" w:hAnsi="宋体" w:cs="Calibri"/>
          <w:kern w:val="0"/>
          <w:szCs w:val="21"/>
        </w:rPr>
      </w:pPr>
      <w:r>
        <w:rPr>
          <w:rFonts w:ascii="宋体" w:eastAsia="宋体" w:hAnsi="宋体" w:cs="Calibri" w:hint="eastAsia"/>
          <w:kern w:val="0"/>
          <w:szCs w:val="21"/>
        </w:rPr>
        <w:t>（</w:t>
      </w:r>
      <w:r>
        <w:rPr>
          <w:rFonts w:ascii="宋体" w:eastAsia="宋体" w:hAnsi="宋体" w:cs="Calibri" w:hint="eastAsia"/>
          <w:kern w:val="0"/>
          <w:szCs w:val="21"/>
        </w:rPr>
        <w:t>1</w:t>
      </w:r>
      <w:r>
        <w:rPr>
          <w:rFonts w:ascii="宋体" w:eastAsia="宋体" w:hAnsi="宋体" w:cs="Calibri" w:hint="eastAsia"/>
          <w:kern w:val="0"/>
          <w:szCs w:val="21"/>
        </w:rPr>
        <w:t>）富荣中证</w:t>
      </w:r>
      <w:r>
        <w:rPr>
          <w:rFonts w:ascii="宋体" w:eastAsia="宋体" w:hAnsi="宋体" w:cs="Calibri" w:hint="eastAsia"/>
          <w:kern w:val="0"/>
          <w:szCs w:val="21"/>
        </w:rPr>
        <w:t>500</w:t>
      </w:r>
      <w:r>
        <w:rPr>
          <w:rFonts w:ascii="宋体" w:eastAsia="宋体" w:hAnsi="宋体" w:cs="Calibri" w:hint="eastAsia"/>
          <w:kern w:val="0"/>
          <w:szCs w:val="21"/>
        </w:rPr>
        <w:t>指数增强型证券投资基金（基金代码：</w:t>
      </w:r>
      <w:r>
        <w:rPr>
          <w:rFonts w:ascii="宋体" w:eastAsia="宋体" w:hAnsi="宋体" w:cs="Calibri" w:hint="eastAsia"/>
          <w:kern w:val="0"/>
          <w:szCs w:val="21"/>
        </w:rPr>
        <w:t>A</w:t>
      </w:r>
      <w:r>
        <w:rPr>
          <w:rFonts w:ascii="宋体" w:eastAsia="宋体" w:hAnsi="宋体" w:cs="Calibri" w:hint="eastAsia"/>
          <w:kern w:val="0"/>
          <w:szCs w:val="21"/>
        </w:rPr>
        <w:t>类</w:t>
      </w:r>
      <w:r>
        <w:rPr>
          <w:rFonts w:ascii="宋体" w:eastAsia="宋体" w:hAnsi="宋体" w:cs="Calibri" w:hint="eastAsia"/>
          <w:kern w:val="0"/>
          <w:szCs w:val="21"/>
        </w:rPr>
        <w:t>004790</w:t>
      </w:r>
      <w:r>
        <w:rPr>
          <w:rFonts w:ascii="宋体" w:eastAsia="宋体" w:hAnsi="宋体" w:cs="Calibri" w:hint="eastAsia"/>
          <w:kern w:val="0"/>
          <w:szCs w:val="21"/>
        </w:rPr>
        <w:t>、</w:t>
      </w:r>
      <w:r>
        <w:rPr>
          <w:rFonts w:ascii="宋体" w:eastAsia="宋体" w:hAnsi="宋体" w:cs="Calibri" w:hint="eastAsia"/>
          <w:kern w:val="0"/>
          <w:szCs w:val="21"/>
        </w:rPr>
        <w:t>C</w:t>
      </w:r>
      <w:r>
        <w:rPr>
          <w:rFonts w:ascii="宋体" w:eastAsia="宋体" w:hAnsi="宋体" w:cs="Calibri" w:hint="eastAsia"/>
          <w:kern w:val="0"/>
          <w:szCs w:val="21"/>
        </w:rPr>
        <w:t>类</w:t>
      </w:r>
      <w:r>
        <w:rPr>
          <w:rFonts w:ascii="宋体" w:eastAsia="宋体" w:hAnsi="宋体" w:cs="Calibri" w:hint="eastAsia"/>
          <w:kern w:val="0"/>
          <w:szCs w:val="21"/>
        </w:rPr>
        <w:t>004791</w:t>
      </w:r>
      <w:r>
        <w:rPr>
          <w:rFonts w:ascii="宋体" w:eastAsia="宋体" w:hAnsi="宋体" w:cs="Calibri" w:hint="eastAsia"/>
          <w:kern w:val="0"/>
          <w:szCs w:val="21"/>
        </w:rPr>
        <w:t>）</w:t>
      </w:r>
      <w:r>
        <w:rPr>
          <w:rFonts w:ascii="宋体" w:eastAsia="宋体" w:hAnsi="宋体" w:cs="Calibri" w:hint="eastAsia"/>
          <w:kern w:val="0"/>
          <w:szCs w:val="21"/>
        </w:rPr>
        <w:t>；</w:t>
      </w:r>
    </w:p>
    <w:p w:rsidR="005A2943" w:rsidRDefault="0012317E">
      <w:pPr>
        <w:widowControl/>
        <w:shd w:val="clear" w:color="auto" w:fill="FFFFFF"/>
        <w:spacing w:line="360" w:lineRule="auto"/>
        <w:ind w:firstLine="480"/>
        <w:jc w:val="left"/>
        <w:rPr>
          <w:rFonts w:ascii="宋体" w:eastAsia="宋体" w:hAnsi="宋体" w:cs="Calibri"/>
          <w:kern w:val="0"/>
          <w:szCs w:val="21"/>
        </w:rPr>
      </w:pPr>
      <w:r>
        <w:rPr>
          <w:rFonts w:ascii="宋体" w:eastAsia="宋体" w:hAnsi="宋体" w:cs="Calibri" w:hint="eastAsia"/>
          <w:kern w:val="0"/>
          <w:szCs w:val="21"/>
        </w:rPr>
        <w:t>（</w:t>
      </w:r>
      <w:r>
        <w:rPr>
          <w:rFonts w:ascii="宋体" w:eastAsia="宋体" w:hAnsi="宋体" w:cs="Calibri" w:hint="eastAsia"/>
          <w:kern w:val="0"/>
          <w:szCs w:val="21"/>
        </w:rPr>
        <w:t>2</w:t>
      </w:r>
      <w:r>
        <w:rPr>
          <w:rFonts w:ascii="宋体" w:eastAsia="宋体" w:hAnsi="宋体" w:cs="Calibri" w:hint="eastAsia"/>
          <w:kern w:val="0"/>
          <w:szCs w:val="21"/>
        </w:rPr>
        <w:t>）富荣福康混合型证券投资基金（基金代码：</w:t>
      </w:r>
      <w:r>
        <w:rPr>
          <w:rFonts w:ascii="宋体" w:eastAsia="宋体" w:hAnsi="宋体" w:cs="Calibri" w:hint="eastAsia"/>
          <w:kern w:val="0"/>
          <w:szCs w:val="21"/>
        </w:rPr>
        <w:t>A</w:t>
      </w:r>
      <w:r>
        <w:rPr>
          <w:rFonts w:ascii="宋体" w:eastAsia="宋体" w:hAnsi="宋体" w:cs="Calibri" w:hint="eastAsia"/>
          <w:kern w:val="0"/>
          <w:szCs w:val="21"/>
        </w:rPr>
        <w:t>类</w:t>
      </w:r>
      <w:r>
        <w:rPr>
          <w:rFonts w:ascii="宋体" w:eastAsia="宋体" w:hAnsi="宋体" w:cs="Calibri" w:hint="eastAsia"/>
          <w:kern w:val="0"/>
          <w:szCs w:val="21"/>
        </w:rPr>
        <w:t>005104</w:t>
      </w:r>
      <w:r>
        <w:rPr>
          <w:rFonts w:ascii="宋体" w:eastAsia="宋体" w:hAnsi="宋体" w:cs="Calibri" w:hint="eastAsia"/>
          <w:kern w:val="0"/>
          <w:szCs w:val="21"/>
        </w:rPr>
        <w:t>、</w:t>
      </w:r>
      <w:r>
        <w:rPr>
          <w:rFonts w:ascii="宋体" w:eastAsia="宋体" w:hAnsi="宋体" w:cs="Calibri" w:hint="eastAsia"/>
          <w:kern w:val="0"/>
          <w:szCs w:val="21"/>
        </w:rPr>
        <w:t>C</w:t>
      </w:r>
      <w:r>
        <w:rPr>
          <w:rFonts w:ascii="宋体" w:eastAsia="宋体" w:hAnsi="宋体" w:cs="Calibri" w:hint="eastAsia"/>
          <w:kern w:val="0"/>
          <w:szCs w:val="21"/>
        </w:rPr>
        <w:t>类</w:t>
      </w:r>
      <w:r>
        <w:rPr>
          <w:rFonts w:ascii="宋体" w:eastAsia="宋体" w:hAnsi="宋体" w:cs="Calibri" w:hint="eastAsia"/>
          <w:kern w:val="0"/>
          <w:szCs w:val="21"/>
        </w:rPr>
        <w:t>005105</w:t>
      </w:r>
      <w:r>
        <w:rPr>
          <w:rFonts w:ascii="宋体" w:eastAsia="宋体" w:hAnsi="宋体" w:cs="Calibri" w:hint="eastAsia"/>
          <w:kern w:val="0"/>
          <w:szCs w:val="21"/>
        </w:rPr>
        <w:t>）；</w:t>
      </w:r>
    </w:p>
    <w:p w:rsidR="005A2943" w:rsidRDefault="0012317E">
      <w:pPr>
        <w:widowControl/>
        <w:shd w:val="clear" w:color="auto" w:fill="FFFFFF"/>
        <w:spacing w:line="360" w:lineRule="auto"/>
        <w:ind w:firstLine="480"/>
        <w:jc w:val="left"/>
        <w:rPr>
          <w:rFonts w:ascii="宋体" w:eastAsia="宋体" w:hAnsi="宋体" w:cs="Calibri"/>
          <w:kern w:val="0"/>
          <w:szCs w:val="21"/>
        </w:rPr>
      </w:pPr>
      <w:r>
        <w:rPr>
          <w:rFonts w:ascii="宋体" w:eastAsia="宋体" w:hAnsi="宋体" w:cs="Calibri" w:hint="eastAsia"/>
          <w:kern w:val="0"/>
          <w:szCs w:val="21"/>
        </w:rPr>
        <w:t>（</w:t>
      </w:r>
      <w:r>
        <w:rPr>
          <w:rFonts w:ascii="宋体" w:eastAsia="宋体" w:hAnsi="宋体" w:cs="Calibri" w:hint="eastAsia"/>
          <w:kern w:val="0"/>
          <w:szCs w:val="21"/>
        </w:rPr>
        <w:t>3</w:t>
      </w:r>
      <w:r>
        <w:rPr>
          <w:rFonts w:ascii="宋体" w:eastAsia="宋体" w:hAnsi="宋体" w:cs="Calibri" w:hint="eastAsia"/>
          <w:kern w:val="0"/>
          <w:szCs w:val="21"/>
        </w:rPr>
        <w:t>）富荣福鑫灵活配置混合型证券投资基金（基金代码：</w:t>
      </w:r>
      <w:r>
        <w:rPr>
          <w:rFonts w:ascii="宋体" w:eastAsia="宋体" w:hAnsi="宋体" w:cs="Calibri" w:hint="eastAsia"/>
          <w:kern w:val="0"/>
          <w:szCs w:val="21"/>
        </w:rPr>
        <w:t>A</w:t>
      </w:r>
      <w:r>
        <w:rPr>
          <w:rFonts w:ascii="宋体" w:eastAsia="宋体" w:hAnsi="宋体" w:cs="Calibri" w:hint="eastAsia"/>
          <w:kern w:val="0"/>
          <w:szCs w:val="21"/>
        </w:rPr>
        <w:t>类</w:t>
      </w:r>
      <w:r>
        <w:rPr>
          <w:rFonts w:ascii="宋体" w:eastAsia="宋体" w:hAnsi="宋体" w:cs="Calibri" w:hint="eastAsia"/>
          <w:kern w:val="0"/>
          <w:szCs w:val="21"/>
        </w:rPr>
        <w:t>004794</w:t>
      </w:r>
      <w:r>
        <w:rPr>
          <w:rFonts w:ascii="宋体" w:eastAsia="宋体" w:hAnsi="宋体" w:cs="Calibri" w:hint="eastAsia"/>
          <w:kern w:val="0"/>
          <w:szCs w:val="21"/>
        </w:rPr>
        <w:t>、</w:t>
      </w:r>
      <w:r>
        <w:rPr>
          <w:rFonts w:ascii="宋体" w:eastAsia="宋体" w:hAnsi="宋体" w:cs="Calibri" w:hint="eastAsia"/>
          <w:kern w:val="0"/>
          <w:szCs w:val="21"/>
        </w:rPr>
        <w:t>C</w:t>
      </w:r>
      <w:r>
        <w:rPr>
          <w:rFonts w:ascii="宋体" w:eastAsia="宋体" w:hAnsi="宋体" w:cs="Calibri" w:hint="eastAsia"/>
          <w:kern w:val="0"/>
          <w:szCs w:val="21"/>
        </w:rPr>
        <w:t>类</w:t>
      </w:r>
      <w:r>
        <w:rPr>
          <w:rFonts w:ascii="宋体" w:eastAsia="宋体" w:hAnsi="宋体" w:cs="Calibri" w:hint="eastAsia"/>
          <w:kern w:val="0"/>
          <w:szCs w:val="21"/>
        </w:rPr>
        <w:t>004795</w:t>
      </w:r>
      <w:r>
        <w:rPr>
          <w:rFonts w:ascii="宋体" w:eastAsia="宋体" w:hAnsi="宋体" w:cs="Calibri" w:hint="eastAsia"/>
          <w:kern w:val="0"/>
          <w:szCs w:val="21"/>
        </w:rPr>
        <w:t>）；</w:t>
      </w:r>
    </w:p>
    <w:p w:rsidR="005A2943" w:rsidRDefault="0012317E">
      <w:pPr>
        <w:widowControl/>
        <w:shd w:val="clear" w:color="auto" w:fill="FFFFFF"/>
        <w:spacing w:line="360" w:lineRule="auto"/>
        <w:ind w:firstLine="480"/>
        <w:jc w:val="left"/>
        <w:rPr>
          <w:rFonts w:ascii="宋体" w:eastAsia="宋体" w:hAnsi="宋体" w:cs="Calibri"/>
          <w:kern w:val="0"/>
          <w:szCs w:val="21"/>
        </w:rPr>
      </w:pPr>
      <w:r>
        <w:rPr>
          <w:rFonts w:ascii="宋体" w:eastAsia="宋体" w:hAnsi="宋体" w:cs="Calibri" w:hint="eastAsia"/>
          <w:kern w:val="0"/>
          <w:szCs w:val="21"/>
        </w:rPr>
        <w:t>（</w:t>
      </w:r>
      <w:r>
        <w:rPr>
          <w:rFonts w:ascii="宋体" w:eastAsia="宋体" w:hAnsi="宋体" w:cs="Calibri" w:hint="eastAsia"/>
          <w:kern w:val="0"/>
          <w:szCs w:val="21"/>
        </w:rPr>
        <w:t>4</w:t>
      </w:r>
      <w:r>
        <w:rPr>
          <w:rFonts w:ascii="宋体" w:eastAsia="宋体" w:hAnsi="宋体" w:cs="Calibri" w:hint="eastAsia"/>
          <w:kern w:val="0"/>
          <w:szCs w:val="21"/>
        </w:rPr>
        <w:t>）</w:t>
      </w:r>
      <w:r>
        <w:rPr>
          <w:rFonts w:ascii="宋体" w:eastAsia="宋体" w:hAnsi="宋体" w:cs="Calibri" w:hint="eastAsia"/>
          <w:kern w:val="0"/>
          <w:szCs w:val="21"/>
        </w:rPr>
        <w:t xml:space="preserve"> </w:t>
      </w:r>
      <w:r>
        <w:rPr>
          <w:rFonts w:ascii="宋体" w:eastAsia="宋体" w:hAnsi="宋体" w:cs="Calibri" w:hint="eastAsia"/>
          <w:kern w:val="0"/>
          <w:szCs w:val="21"/>
        </w:rPr>
        <w:t>富荣量化精选混合型发起式证券投资基金（基金代码：</w:t>
      </w:r>
      <w:r>
        <w:rPr>
          <w:rFonts w:ascii="宋体" w:eastAsia="宋体" w:hAnsi="宋体" w:cs="Calibri" w:hint="eastAsia"/>
          <w:kern w:val="0"/>
          <w:szCs w:val="21"/>
        </w:rPr>
        <w:t>A</w:t>
      </w:r>
      <w:r>
        <w:rPr>
          <w:rFonts w:ascii="宋体" w:eastAsia="宋体" w:hAnsi="宋体" w:cs="Calibri" w:hint="eastAsia"/>
          <w:kern w:val="0"/>
          <w:szCs w:val="21"/>
        </w:rPr>
        <w:t>类</w:t>
      </w:r>
      <w:r>
        <w:rPr>
          <w:rFonts w:ascii="宋体" w:eastAsia="宋体" w:hAnsi="宋体" w:cs="Calibri" w:hint="eastAsia"/>
          <w:kern w:val="0"/>
          <w:szCs w:val="21"/>
        </w:rPr>
        <w:t>014556</w:t>
      </w:r>
      <w:r>
        <w:rPr>
          <w:rFonts w:ascii="宋体" w:eastAsia="宋体" w:hAnsi="宋体" w:cs="Calibri" w:hint="eastAsia"/>
          <w:kern w:val="0"/>
          <w:szCs w:val="21"/>
        </w:rPr>
        <w:t>、</w:t>
      </w:r>
      <w:r>
        <w:rPr>
          <w:rFonts w:ascii="宋体" w:eastAsia="宋体" w:hAnsi="宋体" w:cs="Calibri" w:hint="eastAsia"/>
          <w:kern w:val="0"/>
          <w:szCs w:val="21"/>
        </w:rPr>
        <w:t>C</w:t>
      </w:r>
      <w:r>
        <w:rPr>
          <w:rFonts w:ascii="宋体" w:eastAsia="宋体" w:hAnsi="宋体" w:cs="Calibri" w:hint="eastAsia"/>
          <w:kern w:val="0"/>
          <w:szCs w:val="21"/>
        </w:rPr>
        <w:t>类</w:t>
      </w:r>
      <w:r>
        <w:rPr>
          <w:rFonts w:ascii="宋体" w:eastAsia="宋体" w:hAnsi="宋体" w:cs="Calibri" w:hint="eastAsia"/>
          <w:kern w:val="0"/>
          <w:szCs w:val="21"/>
        </w:rPr>
        <w:t>014557</w:t>
      </w:r>
      <w:r>
        <w:rPr>
          <w:rFonts w:ascii="宋体" w:eastAsia="宋体" w:hAnsi="宋体" w:cs="Calibri" w:hint="eastAsia"/>
          <w:kern w:val="0"/>
          <w:szCs w:val="21"/>
        </w:rPr>
        <w:t>）。</w:t>
      </w:r>
    </w:p>
    <w:p w:rsidR="005A2943" w:rsidRDefault="005A2943">
      <w:pPr>
        <w:widowControl/>
        <w:shd w:val="clear" w:color="auto" w:fill="FFFFFF"/>
        <w:spacing w:line="360" w:lineRule="auto"/>
        <w:ind w:firstLine="480"/>
        <w:jc w:val="left"/>
        <w:rPr>
          <w:rFonts w:ascii="宋体" w:eastAsia="宋体" w:hAnsi="宋体" w:cs="Calibri"/>
          <w:kern w:val="0"/>
          <w:szCs w:val="21"/>
        </w:rPr>
      </w:pPr>
    </w:p>
    <w:p w:rsidR="005A2943" w:rsidRDefault="0012317E">
      <w:pPr>
        <w:widowControl/>
        <w:shd w:val="clear" w:color="auto" w:fill="FFFFFF"/>
        <w:spacing w:line="360" w:lineRule="auto"/>
        <w:ind w:firstLineChars="200" w:firstLine="420"/>
        <w:jc w:val="left"/>
        <w:rPr>
          <w:rFonts w:ascii="宋体" w:eastAsia="宋体" w:hAnsi="宋体" w:cs="Calibri"/>
          <w:kern w:val="0"/>
          <w:szCs w:val="21"/>
        </w:rPr>
      </w:pPr>
      <w:r>
        <w:rPr>
          <w:rFonts w:ascii="宋体" w:eastAsia="宋体" w:hAnsi="宋体" w:cs="Calibri" w:hint="eastAsia"/>
          <w:kern w:val="0"/>
          <w:szCs w:val="21"/>
        </w:rPr>
        <w:t>二、</w:t>
      </w:r>
      <w:r>
        <w:rPr>
          <w:rFonts w:ascii="宋体" w:eastAsia="宋体" w:hAnsi="宋体" w:cs="Calibri" w:hint="eastAsia"/>
          <w:kern w:val="0"/>
          <w:szCs w:val="21"/>
        </w:rPr>
        <w:t>新增销售机构名单</w:t>
      </w:r>
    </w:p>
    <w:p w:rsidR="005A2943" w:rsidRDefault="0012317E">
      <w:pPr>
        <w:widowControl/>
        <w:shd w:val="clear" w:color="auto" w:fill="FFFFFF"/>
        <w:spacing w:line="360" w:lineRule="auto"/>
        <w:ind w:left="630"/>
        <w:jc w:val="left"/>
        <w:rPr>
          <w:rFonts w:ascii="宋体" w:eastAsia="宋体" w:hAnsi="宋体" w:cs="Calibri"/>
          <w:kern w:val="0"/>
          <w:szCs w:val="21"/>
        </w:rPr>
      </w:pPr>
      <w:r>
        <w:rPr>
          <w:rFonts w:ascii="宋体" w:eastAsia="宋体" w:hAnsi="宋体" w:cs="Calibri" w:hint="eastAsia"/>
          <w:kern w:val="0"/>
          <w:szCs w:val="21"/>
        </w:rPr>
        <w:t>1</w:t>
      </w:r>
      <w:r>
        <w:rPr>
          <w:rFonts w:ascii="宋体" w:eastAsia="宋体" w:hAnsi="宋体" w:cs="Calibri" w:hint="eastAsia"/>
          <w:kern w:val="0"/>
          <w:szCs w:val="21"/>
        </w:rPr>
        <w:t>、中信证券股份有限公司</w:t>
      </w:r>
    </w:p>
    <w:p w:rsidR="005A2943" w:rsidRDefault="0012317E">
      <w:pPr>
        <w:widowControl/>
        <w:shd w:val="clear" w:color="auto" w:fill="FFFFFF"/>
        <w:spacing w:line="360" w:lineRule="auto"/>
        <w:ind w:firstLineChars="400" w:firstLine="840"/>
        <w:rPr>
          <w:rFonts w:ascii="宋体" w:eastAsia="宋体" w:hAnsi="宋体" w:cs="Calibri"/>
          <w:kern w:val="0"/>
          <w:szCs w:val="21"/>
        </w:rPr>
      </w:pPr>
      <w:r>
        <w:rPr>
          <w:rFonts w:ascii="宋体" w:eastAsia="宋体" w:hAnsi="宋体" w:cs="Calibri" w:hint="eastAsia"/>
          <w:kern w:val="0"/>
          <w:szCs w:val="21"/>
        </w:rPr>
        <w:t>客户服务电话：</w:t>
      </w:r>
      <w:r>
        <w:rPr>
          <w:rFonts w:ascii="宋体" w:eastAsia="宋体" w:hAnsi="宋体" w:cs="Calibri" w:hint="eastAsia"/>
          <w:kern w:val="0"/>
          <w:szCs w:val="21"/>
        </w:rPr>
        <w:t>95548</w:t>
      </w:r>
    </w:p>
    <w:p w:rsidR="005A2943" w:rsidRDefault="0012317E">
      <w:pPr>
        <w:widowControl/>
        <w:shd w:val="clear" w:color="auto" w:fill="FFFFFF"/>
        <w:spacing w:line="360" w:lineRule="auto"/>
        <w:ind w:firstLineChars="400" w:firstLine="840"/>
        <w:rPr>
          <w:rFonts w:ascii="宋体" w:eastAsia="宋体" w:hAnsi="宋体" w:cs="Calibri"/>
          <w:kern w:val="0"/>
          <w:szCs w:val="21"/>
        </w:rPr>
      </w:pPr>
      <w:r>
        <w:rPr>
          <w:rFonts w:ascii="宋体" w:eastAsia="宋体" w:hAnsi="宋体" w:cs="Calibri" w:hint="eastAsia"/>
          <w:kern w:val="0"/>
          <w:szCs w:val="21"/>
        </w:rPr>
        <w:t>网址：</w:t>
      </w:r>
      <w:r>
        <w:rPr>
          <w:rFonts w:ascii="宋体" w:eastAsia="宋体" w:hAnsi="宋体" w:cs="Calibri" w:hint="eastAsia"/>
          <w:kern w:val="0"/>
          <w:szCs w:val="21"/>
        </w:rPr>
        <w:t>www.citics.com</w:t>
      </w:r>
    </w:p>
    <w:p w:rsidR="005A2943" w:rsidRDefault="0012317E">
      <w:pPr>
        <w:widowControl/>
        <w:numPr>
          <w:ilvl w:val="0"/>
          <w:numId w:val="1"/>
        </w:numPr>
        <w:shd w:val="clear" w:color="auto" w:fill="FFFFFF"/>
        <w:spacing w:line="360" w:lineRule="auto"/>
        <w:ind w:firstLineChars="300" w:firstLine="630"/>
        <w:rPr>
          <w:rFonts w:ascii="宋体" w:eastAsia="宋体" w:hAnsi="宋体" w:cs="Calibri"/>
          <w:kern w:val="0"/>
          <w:szCs w:val="21"/>
        </w:rPr>
      </w:pPr>
      <w:r>
        <w:rPr>
          <w:rFonts w:ascii="宋体" w:eastAsia="宋体" w:hAnsi="宋体" w:cs="Calibri" w:hint="eastAsia"/>
          <w:kern w:val="0"/>
          <w:szCs w:val="21"/>
        </w:rPr>
        <w:t>中信证券</w:t>
      </w:r>
      <w:r>
        <w:rPr>
          <w:rFonts w:ascii="宋体" w:eastAsia="宋体" w:hAnsi="宋体" w:cs="Calibri" w:hint="eastAsia"/>
          <w:kern w:val="0"/>
          <w:szCs w:val="21"/>
        </w:rPr>
        <w:t>(</w:t>
      </w:r>
      <w:r>
        <w:rPr>
          <w:rFonts w:ascii="宋体" w:eastAsia="宋体" w:hAnsi="宋体" w:cs="Calibri" w:hint="eastAsia"/>
          <w:kern w:val="0"/>
          <w:szCs w:val="21"/>
        </w:rPr>
        <w:t>山东</w:t>
      </w:r>
      <w:r>
        <w:rPr>
          <w:rFonts w:ascii="宋体" w:eastAsia="宋体" w:hAnsi="宋体" w:cs="Calibri" w:hint="eastAsia"/>
          <w:kern w:val="0"/>
          <w:szCs w:val="21"/>
        </w:rPr>
        <w:t>)</w:t>
      </w:r>
      <w:r>
        <w:rPr>
          <w:rFonts w:ascii="宋体" w:eastAsia="宋体" w:hAnsi="宋体" w:cs="Calibri" w:hint="eastAsia"/>
          <w:kern w:val="0"/>
          <w:szCs w:val="21"/>
        </w:rPr>
        <w:t>有限责任公司</w:t>
      </w:r>
    </w:p>
    <w:p w:rsidR="005A2943" w:rsidRDefault="0012317E">
      <w:pPr>
        <w:widowControl/>
        <w:shd w:val="clear" w:color="auto" w:fill="FFFFFF"/>
        <w:spacing w:line="360" w:lineRule="auto"/>
        <w:ind w:firstLineChars="400" w:firstLine="840"/>
        <w:rPr>
          <w:rFonts w:ascii="宋体" w:eastAsia="宋体" w:hAnsi="宋体" w:cs="Calibri"/>
          <w:kern w:val="0"/>
          <w:szCs w:val="21"/>
        </w:rPr>
      </w:pPr>
      <w:r>
        <w:rPr>
          <w:rFonts w:ascii="宋体" w:eastAsia="宋体" w:hAnsi="宋体" w:cs="Calibri" w:hint="eastAsia"/>
          <w:kern w:val="0"/>
          <w:szCs w:val="21"/>
        </w:rPr>
        <w:t>客户服务电话：</w:t>
      </w:r>
      <w:r>
        <w:rPr>
          <w:rFonts w:ascii="宋体" w:eastAsia="宋体" w:hAnsi="宋体" w:cs="Calibri" w:hint="eastAsia"/>
          <w:kern w:val="0"/>
          <w:szCs w:val="21"/>
        </w:rPr>
        <w:t>95548</w:t>
      </w:r>
    </w:p>
    <w:p w:rsidR="005A2943" w:rsidRDefault="0012317E">
      <w:pPr>
        <w:widowControl/>
        <w:shd w:val="clear" w:color="auto" w:fill="FFFFFF"/>
        <w:spacing w:line="360" w:lineRule="auto"/>
        <w:ind w:firstLineChars="400" w:firstLine="840"/>
        <w:rPr>
          <w:rFonts w:ascii="宋体" w:eastAsia="宋体" w:hAnsi="宋体" w:cs="Calibri"/>
          <w:kern w:val="0"/>
          <w:szCs w:val="21"/>
        </w:rPr>
      </w:pPr>
      <w:r>
        <w:rPr>
          <w:rFonts w:ascii="宋体" w:eastAsia="宋体" w:hAnsi="宋体" w:cs="Calibri" w:hint="eastAsia"/>
          <w:kern w:val="0"/>
          <w:szCs w:val="21"/>
        </w:rPr>
        <w:t>网址：</w:t>
      </w:r>
      <w:r>
        <w:rPr>
          <w:rFonts w:ascii="宋体" w:eastAsia="宋体" w:hAnsi="宋体" w:cs="Calibri" w:hint="eastAsia"/>
          <w:kern w:val="0"/>
          <w:szCs w:val="21"/>
        </w:rPr>
        <w:t>sd.citics.com</w:t>
      </w:r>
    </w:p>
    <w:p w:rsidR="005A2943" w:rsidRDefault="0012317E">
      <w:pPr>
        <w:widowControl/>
        <w:numPr>
          <w:ilvl w:val="0"/>
          <w:numId w:val="1"/>
        </w:numPr>
        <w:shd w:val="clear" w:color="auto" w:fill="FFFFFF"/>
        <w:spacing w:line="360" w:lineRule="auto"/>
        <w:ind w:firstLineChars="300" w:firstLine="630"/>
        <w:rPr>
          <w:rFonts w:ascii="宋体" w:eastAsia="宋体" w:hAnsi="宋体" w:cs="Calibri"/>
          <w:kern w:val="0"/>
          <w:szCs w:val="21"/>
        </w:rPr>
      </w:pPr>
      <w:r>
        <w:rPr>
          <w:rFonts w:ascii="宋体" w:eastAsia="宋体" w:hAnsi="宋体" w:cs="Calibri" w:hint="eastAsia"/>
          <w:kern w:val="0"/>
          <w:szCs w:val="21"/>
        </w:rPr>
        <w:t>中信证券华南股份有限公司</w:t>
      </w:r>
    </w:p>
    <w:p w:rsidR="005A2943" w:rsidRDefault="0012317E">
      <w:pPr>
        <w:widowControl/>
        <w:shd w:val="clear" w:color="auto" w:fill="FFFFFF"/>
        <w:spacing w:line="360" w:lineRule="auto"/>
        <w:ind w:firstLineChars="400" w:firstLine="840"/>
        <w:rPr>
          <w:rFonts w:ascii="宋体" w:eastAsia="宋体" w:hAnsi="宋体" w:cs="Calibri"/>
          <w:kern w:val="0"/>
          <w:szCs w:val="21"/>
        </w:rPr>
      </w:pPr>
      <w:r>
        <w:rPr>
          <w:rFonts w:ascii="宋体" w:eastAsia="宋体" w:hAnsi="宋体" w:cs="Calibri" w:hint="eastAsia"/>
          <w:kern w:val="0"/>
          <w:szCs w:val="21"/>
        </w:rPr>
        <w:t>客户服务电话：</w:t>
      </w:r>
      <w:r>
        <w:rPr>
          <w:rFonts w:ascii="宋体" w:eastAsia="宋体" w:hAnsi="宋体" w:cs="Calibri" w:hint="eastAsia"/>
          <w:kern w:val="0"/>
          <w:szCs w:val="21"/>
        </w:rPr>
        <w:t>95548</w:t>
      </w:r>
    </w:p>
    <w:p w:rsidR="005A2943" w:rsidRDefault="0012317E">
      <w:pPr>
        <w:widowControl/>
        <w:shd w:val="clear" w:color="auto" w:fill="FFFFFF"/>
        <w:spacing w:line="360" w:lineRule="auto"/>
        <w:ind w:firstLineChars="400" w:firstLine="840"/>
        <w:rPr>
          <w:rFonts w:ascii="宋体" w:eastAsia="宋体" w:hAnsi="宋体" w:cs="Calibri"/>
          <w:kern w:val="0"/>
          <w:szCs w:val="21"/>
        </w:rPr>
      </w:pPr>
      <w:r>
        <w:rPr>
          <w:rFonts w:ascii="宋体" w:eastAsia="宋体" w:hAnsi="宋体" w:cs="Calibri" w:hint="eastAsia"/>
          <w:kern w:val="0"/>
          <w:szCs w:val="21"/>
        </w:rPr>
        <w:t>网址：</w:t>
      </w:r>
      <w:hyperlink r:id="rId6" w:tgtFrame="https://www.tianyancha.com/company/_blank" w:history="1">
        <w:r>
          <w:rPr>
            <w:rFonts w:ascii="宋体" w:eastAsia="宋体" w:hAnsi="宋体" w:cs="Calibri" w:hint="eastAsia"/>
            <w:kern w:val="0"/>
            <w:szCs w:val="21"/>
          </w:rPr>
          <w:t>www.gzs.com.cn</w:t>
        </w:r>
      </w:hyperlink>
    </w:p>
    <w:p w:rsidR="005A2943" w:rsidRDefault="0012317E">
      <w:pPr>
        <w:widowControl/>
        <w:numPr>
          <w:ilvl w:val="0"/>
          <w:numId w:val="1"/>
        </w:numPr>
        <w:shd w:val="clear" w:color="auto" w:fill="FFFFFF"/>
        <w:spacing w:line="360" w:lineRule="auto"/>
        <w:ind w:firstLineChars="300" w:firstLine="630"/>
        <w:rPr>
          <w:rFonts w:ascii="宋体" w:eastAsia="宋体" w:hAnsi="宋体" w:cs="Calibri"/>
          <w:kern w:val="0"/>
          <w:szCs w:val="21"/>
        </w:rPr>
      </w:pPr>
      <w:r>
        <w:rPr>
          <w:rFonts w:ascii="宋体" w:eastAsia="宋体" w:hAnsi="宋体" w:cs="Calibri" w:hint="eastAsia"/>
          <w:kern w:val="0"/>
          <w:szCs w:val="21"/>
        </w:rPr>
        <w:lastRenderedPageBreak/>
        <w:t>中信期货有限公司</w:t>
      </w:r>
    </w:p>
    <w:p w:rsidR="005A2943" w:rsidRDefault="0012317E">
      <w:pPr>
        <w:widowControl/>
        <w:shd w:val="clear" w:color="auto" w:fill="FFFFFF"/>
        <w:spacing w:line="360" w:lineRule="auto"/>
        <w:ind w:firstLineChars="400" w:firstLine="840"/>
        <w:rPr>
          <w:rFonts w:ascii="宋体" w:eastAsia="宋体" w:hAnsi="宋体" w:cs="Calibri"/>
          <w:kern w:val="0"/>
          <w:szCs w:val="21"/>
        </w:rPr>
      </w:pPr>
      <w:r>
        <w:rPr>
          <w:rFonts w:ascii="宋体" w:eastAsia="宋体" w:hAnsi="宋体" w:cs="Calibri" w:hint="eastAsia"/>
          <w:kern w:val="0"/>
          <w:szCs w:val="21"/>
        </w:rPr>
        <w:t>客户服务电话：</w:t>
      </w:r>
      <w:r>
        <w:rPr>
          <w:rFonts w:ascii="宋体" w:eastAsia="宋体" w:hAnsi="宋体" w:cs="Calibri" w:hint="eastAsia"/>
          <w:kern w:val="0"/>
          <w:szCs w:val="21"/>
        </w:rPr>
        <w:t>400-990-8826</w:t>
      </w:r>
    </w:p>
    <w:p w:rsidR="005A2943" w:rsidRDefault="0012317E">
      <w:pPr>
        <w:widowControl/>
        <w:shd w:val="clear" w:color="auto" w:fill="FFFFFF"/>
        <w:spacing w:line="360" w:lineRule="auto"/>
        <w:ind w:firstLineChars="400" w:firstLine="840"/>
        <w:rPr>
          <w:rFonts w:ascii="宋体" w:eastAsia="宋体" w:hAnsi="宋体" w:cs="Calibri"/>
          <w:kern w:val="0"/>
          <w:szCs w:val="21"/>
        </w:rPr>
      </w:pPr>
      <w:r>
        <w:rPr>
          <w:rFonts w:ascii="宋体" w:eastAsia="宋体" w:hAnsi="宋体" w:cs="Calibri" w:hint="eastAsia"/>
          <w:kern w:val="0"/>
          <w:szCs w:val="21"/>
        </w:rPr>
        <w:t>网址：</w:t>
      </w:r>
      <w:r>
        <w:rPr>
          <w:rFonts w:ascii="宋体" w:eastAsia="宋体" w:hAnsi="宋体" w:cs="Calibri" w:hint="eastAsia"/>
          <w:kern w:val="0"/>
          <w:szCs w:val="21"/>
        </w:rPr>
        <w:t>www.citicsf.com</w:t>
      </w:r>
    </w:p>
    <w:p w:rsidR="005A2943" w:rsidRDefault="0012317E">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投资者可以通过上述销售机构办理相关基金的申购、赎回、转换及定期定额投资业务。业务办理的具体程序，以销售机构相关规定为准。同时，投资者办理相关基金转换业务适用转换范围，请参考本公司相关公告及业务规则。</w:t>
      </w:r>
    </w:p>
    <w:p w:rsidR="005A2943" w:rsidRDefault="005A2943">
      <w:pPr>
        <w:widowControl/>
        <w:spacing w:line="360" w:lineRule="auto"/>
        <w:jc w:val="left"/>
        <w:rPr>
          <w:rFonts w:ascii="宋体" w:eastAsia="宋体" w:hAnsi="宋体" w:cs="Calibri"/>
          <w:color w:val="000000"/>
          <w:kern w:val="0"/>
          <w:szCs w:val="21"/>
        </w:rPr>
      </w:pPr>
    </w:p>
    <w:p w:rsidR="005A2943" w:rsidRDefault="0012317E">
      <w:pPr>
        <w:spacing w:line="360" w:lineRule="auto"/>
        <w:ind w:firstLineChars="200" w:firstLine="420"/>
        <w:jc w:val="left"/>
      </w:pPr>
      <w:r>
        <w:rPr>
          <w:rFonts w:ascii="宋体" w:eastAsia="宋体" w:hAnsi="宋体" w:cs="Calibri" w:hint="eastAsia"/>
          <w:color w:val="000000"/>
          <w:kern w:val="0"/>
          <w:szCs w:val="21"/>
        </w:rPr>
        <w:t>三、</w:t>
      </w:r>
      <w:r>
        <w:t>优惠</w:t>
      </w:r>
      <w:r>
        <w:rPr>
          <w:rFonts w:hint="eastAsia"/>
        </w:rPr>
        <w:t>活动内容</w:t>
      </w:r>
    </w:p>
    <w:p w:rsidR="005A2943" w:rsidRDefault="0012317E">
      <w:pPr>
        <w:spacing w:line="360" w:lineRule="auto"/>
        <w:ind w:firstLineChars="200" w:firstLine="420"/>
        <w:jc w:val="left"/>
      </w:pPr>
      <w:r>
        <w:rPr>
          <w:rFonts w:hint="eastAsia"/>
        </w:rPr>
        <w:t>活动期间，投资者通过上述销售机构一次性申购或定期定额投资申购本公司上述基金（限前端收费模式），享有费率折扣优惠。本次费率优惠活动如有展期、终止或调整，费率优惠规则如有变更，均以销售机构的安排和规定为准。</w:t>
      </w:r>
    </w:p>
    <w:p w:rsidR="005A2943" w:rsidRDefault="005A2943">
      <w:pPr>
        <w:widowControl/>
        <w:spacing w:line="360" w:lineRule="auto"/>
        <w:ind w:leftChars="200" w:left="420"/>
        <w:jc w:val="left"/>
        <w:rPr>
          <w:rFonts w:ascii="宋体" w:eastAsia="宋体" w:hAnsi="宋体" w:cs="Calibri"/>
          <w:color w:val="000000"/>
          <w:kern w:val="0"/>
          <w:szCs w:val="21"/>
        </w:rPr>
      </w:pPr>
    </w:p>
    <w:p w:rsidR="005A2943" w:rsidRDefault="0012317E">
      <w:pPr>
        <w:spacing w:line="360" w:lineRule="auto"/>
        <w:ind w:firstLineChars="200" w:firstLine="420"/>
        <w:jc w:val="left"/>
      </w:pPr>
      <w:r>
        <w:rPr>
          <w:rFonts w:hint="eastAsia"/>
        </w:rPr>
        <w:t>四、重要提示</w:t>
      </w:r>
    </w:p>
    <w:p w:rsidR="005A2943" w:rsidRDefault="0012317E">
      <w:pPr>
        <w:spacing w:line="360" w:lineRule="auto"/>
        <w:ind w:firstLineChars="200" w:firstLine="420"/>
        <w:jc w:val="left"/>
      </w:pPr>
      <w:r>
        <w:rPr>
          <w:rFonts w:hint="eastAsia"/>
        </w:rPr>
        <w:t>1</w:t>
      </w:r>
      <w:r>
        <w:rPr>
          <w:rFonts w:hint="eastAsia"/>
        </w:rPr>
        <w:t>、本优惠活动仅适用于正常申购期基金的一次性申购手续费和定期定额投资申购手续费，不包括上述基金的后端收费模式的申购手续费，对于大额申购采用固定费用方式收费的基金不参与折扣活动。</w:t>
      </w:r>
    </w:p>
    <w:p w:rsidR="005A2943" w:rsidRDefault="0012317E">
      <w:pPr>
        <w:widowControl/>
        <w:shd w:val="clear" w:color="auto" w:fill="FFFFFF"/>
        <w:spacing w:line="360" w:lineRule="auto"/>
        <w:ind w:firstLine="420"/>
        <w:jc w:val="left"/>
        <w:rPr>
          <w:rFonts w:ascii="宋体" w:eastAsia="宋体" w:hAnsi="宋体" w:cs="Calibri"/>
          <w:color w:val="000000"/>
          <w:kern w:val="0"/>
          <w:szCs w:val="21"/>
        </w:rPr>
      </w:pPr>
      <w:r>
        <w:rPr>
          <w:rFonts w:hint="eastAsia"/>
        </w:rPr>
        <w:t>2</w:t>
      </w:r>
      <w:r>
        <w:rPr>
          <w:rFonts w:hint="eastAsia"/>
        </w:rPr>
        <w:t>、</w:t>
      </w:r>
      <w:r>
        <w:rPr>
          <w:rFonts w:ascii="宋体" w:eastAsia="宋体" w:hAnsi="宋体" w:cs="Calibri" w:hint="eastAsia"/>
          <w:color w:val="000000"/>
          <w:kern w:val="0"/>
          <w:szCs w:val="21"/>
        </w:rPr>
        <w:t>上述基金原申购费率标准请详见上述基金相关法律文件及本公司发布的最新业务公告。</w:t>
      </w:r>
    </w:p>
    <w:p w:rsidR="005A2943" w:rsidRDefault="0012317E">
      <w:pPr>
        <w:spacing w:line="360" w:lineRule="auto"/>
        <w:ind w:firstLineChars="200" w:firstLine="420"/>
        <w:jc w:val="left"/>
      </w:pPr>
      <w:r>
        <w:t>3</w:t>
      </w:r>
      <w:r>
        <w:rPr>
          <w:rFonts w:hint="eastAsia"/>
        </w:rPr>
        <w:t>、该活动解释权归本公司及代销机构所有。有关本次活动的具体规定如有变化，敬请投资者留意本公司及代销机构的相关公告。</w:t>
      </w:r>
    </w:p>
    <w:p w:rsidR="005A2943" w:rsidRDefault="005A2943">
      <w:pPr>
        <w:widowControl/>
        <w:shd w:val="clear" w:color="auto" w:fill="FFFFFF"/>
        <w:spacing w:line="360" w:lineRule="auto"/>
        <w:jc w:val="left"/>
        <w:rPr>
          <w:rFonts w:ascii="宋体" w:eastAsia="宋体" w:hAnsi="宋体" w:cs="Calibri"/>
          <w:color w:val="000000"/>
          <w:kern w:val="0"/>
          <w:szCs w:val="21"/>
        </w:rPr>
      </w:pPr>
    </w:p>
    <w:p w:rsidR="005A2943" w:rsidRDefault="0012317E">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风险提示：</w:t>
      </w:r>
    </w:p>
    <w:p w:rsidR="005A2943" w:rsidRDefault="0012317E">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5A2943" w:rsidRDefault="0012317E">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基金产品资料概要</w:t>
      </w:r>
      <w:r>
        <w:rPr>
          <w:rFonts w:ascii="宋体" w:eastAsia="宋体" w:hAnsi="宋体" w:cs="Calibri" w:hint="eastAsia"/>
          <w:color w:val="000000"/>
          <w:kern w:val="0"/>
          <w:szCs w:val="21"/>
        </w:rPr>
        <w:t>》等基金法律文件，全面认识基金产品的风险收益特</w:t>
      </w:r>
      <w:r>
        <w:rPr>
          <w:rFonts w:ascii="宋体" w:eastAsia="宋体" w:hAnsi="宋体" w:cs="Calibri" w:hint="eastAsia"/>
          <w:color w:val="000000"/>
          <w:kern w:val="0"/>
          <w:szCs w:val="21"/>
        </w:rPr>
        <w:lastRenderedPageBreak/>
        <w:t>征，在了解产品情况及听取销售机构适当性意见的基础上，根据自身的风险承受能力、投资期限和投资目标，对基金投资作出独立决策，选择合适的基金产品。敬请投资者留意投资风险。</w:t>
      </w:r>
    </w:p>
    <w:p w:rsidR="005A2943" w:rsidRDefault="0012317E">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特此公告。</w:t>
      </w:r>
    </w:p>
    <w:p w:rsidR="005A2943" w:rsidRDefault="0012317E">
      <w:pPr>
        <w:widowControl/>
        <w:shd w:val="clear" w:color="auto" w:fill="FFFFFF"/>
        <w:spacing w:line="360" w:lineRule="auto"/>
        <w:jc w:val="left"/>
        <w:rPr>
          <w:rFonts w:ascii="宋体" w:eastAsia="宋体" w:hAnsi="宋体" w:cs="Calibri"/>
          <w:color w:val="000000"/>
          <w:kern w:val="0"/>
          <w:szCs w:val="21"/>
        </w:rPr>
      </w:pPr>
      <w:r>
        <w:rPr>
          <w:rFonts w:ascii="宋体" w:eastAsia="宋体" w:hAnsi="宋体" w:cs="Calibri"/>
          <w:color w:val="000000"/>
          <w:kern w:val="0"/>
          <w:szCs w:val="21"/>
        </w:rPr>
        <w:t> </w:t>
      </w:r>
    </w:p>
    <w:p w:rsidR="005A2943" w:rsidRDefault="0012317E">
      <w:pPr>
        <w:widowControl/>
        <w:shd w:val="clear" w:color="auto" w:fill="FFFFFF"/>
        <w:spacing w:line="360" w:lineRule="auto"/>
        <w:jc w:val="left"/>
        <w:rPr>
          <w:rFonts w:ascii="宋体" w:eastAsia="宋体" w:hAnsi="宋体" w:cs="Calibri"/>
          <w:color w:val="000000"/>
          <w:kern w:val="0"/>
          <w:szCs w:val="21"/>
        </w:rPr>
      </w:pPr>
      <w:r>
        <w:rPr>
          <w:rFonts w:ascii="宋体" w:eastAsia="宋体" w:hAnsi="宋体" w:cs="Calibri"/>
          <w:color w:val="000000"/>
          <w:kern w:val="0"/>
          <w:szCs w:val="21"/>
        </w:rPr>
        <w:t> </w:t>
      </w:r>
    </w:p>
    <w:p w:rsidR="005A2943" w:rsidRDefault="0012317E">
      <w:pPr>
        <w:widowControl/>
        <w:shd w:val="clear" w:color="auto" w:fill="FFFFFF"/>
        <w:spacing w:line="360" w:lineRule="auto"/>
        <w:ind w:firstLine="420"/>
        <w:jc w:val="right"/>
        <w:rPr>
          <w:rFonts w:ascii="宋体" w:eastAsia="宋体" w:hAnsi="宋体" w:cs="Calibri"/>
          <w:color w:val="000000"/>
          <w:kern w:val="0"/>
          <w:szCs w:val="21"/>
        </w:rPr>
      </w:pPr>
      <w:r>
        <w:rPr>
          <w:rFonts w:ascii="宋体" w:eastAsia="宋体" w:hAnsi="宋体" w:cs="Calibri" w:hint="eastAsia"/>
          <w:color w:val="000000"/>
          <w:kern w:val="0"/>
          <w:szCs w:val="21"/>
        </w:rPr>
        <w:t>富荣基金管理有限公司</w:t>
      </w:r>
    </w:p>
    <w:p w:rsidR="005A2943" w:rsidRDefault="0012317E">
      <w:pPr>
        <w:widowControl/>
        <w:shd w:val="clear" w:color="auto" w:fill="FFFFFF"/>
        <w:wordWrap w:val="0"/>
        <w:spacing w:line="360" w:lineRule="auto"/>
        <w:jc w:val="right"/>
        <w:rPr>
          <w:rFonts w:ascii="宋体" w:eastAsia="宋体" w:hAnsi="宋体" w:cs="Calibri"/>
          <w:color w:val="000000"/>
          <w:kern w:val="0"/>
          <w:szCs w:val="21"/>
        </w:rPr>
      </w:pPr>
      <w:r>
        <w:rPr>
          <w:rFonts w:ascii="宋体" w:eastAsia="宋体" w:hAnsi="宋体" w:cs="Calibri" w:hint="eastAsia"/>
          <w:color w:val="000000"/>
          <w:kern w:val="0"/>
          <w:szCs w:val="21"/>
        </w:rPr>
        <w:t>二○二</w:t>
      </w:r>
      <w:r>
        <w:rPr>
          <w:rFonts w:ascii="宋体" w:eastAsia="宋体" w:hAnsi="宋体" w:cs="Calibri" w:hint="eastAsia"/>
          <w:color w:val="000000"/>
          <w:kern w:val="0"/>
          <w:szCs w:val="21"/>
        </w:rPr>
        <w:t>四</w:t>
      </w:r>
      <w:r>
        <w:rPr>
          <w:rFonts w:ascii="宋体" w:eastAsia="宋体" w:hAnsi="宋体" w:cs="Calibri" w:hint="eastAsia"/>
          <w:color w:val="000000"/>
          <w:kern w:val="0"/>
          <w:szCs w:val="21"/>
        </w:rPr>
        <w:t>年</w:t>
      </w:r>
      <w:r>
        <w:rPr>
          <w:rFonts w:ascii="宋体" w:eastAsia="宋体" w:hAnsi="宋体" w:cs="Calibri" w:hint="eastAsia"/>
          <w:color w:val="000000"/>
          <w:kern w:val="0"/>
          <w:szCs w:val="21"/>
        </w:rPr>
        <w:t>六</w:t>
      </w:r>
      <w:r>
        <w:rPr>
          <w:rFonts w:ascii="宋体" w:eastAsia="宋体" w:hAnsi="宋体" w:cs="Calibri" w:hint="eastAsia"/>
          <w:color w:val="000000"/>
          <w:kern w:val="0"/>
          <w:szCs w:val="21"/>
        </w:rPr>
        <w:t>月</w:t>
      </w:r>
      <w:r>
        <w:rPr>
          <w:rFonts w:ascii="宋体" w:eastAsia="宋体" w:hAnsi="宋体" w:cs="Calibri" w:hint="eastAsia"/>
          <w:color w:val="000000"/>
          <w:kern w:val="0"/>
          <w:szCs w:val="21"/>
        </w:rPr>
        <w:t>十七</w:t>
      </w:r>
      <w:r>
        <w:rPr>
          <w:rFonts w:ascii="宋体" w:eastAsia="宋体" w:hAnsi="宋体" w:cs="Calibri" w:hint="eastAsia"/>
          <w:color w:val="000000"/>
          <w:kern w:val="0"/>
          <w:szCs w:val="21"/>
        </w:rPr>
        <w:t>日</w:t>
      </w:r>
    </w:p>
    <w:p w:rsidR="005A2943" w:rsidRDefault="005A2943">
      <w:pPr>
        <w:widowControl/>
        <w:shd w:val="clear" w:color="auto" w:fill="FFFFFF"/>
        <w:wordWrap w:val="0"/>
        <w:spacing w:line="360" w:lineRule="auto"/>
        <w:ind w:right="210"/>
        <w:jc w:val="right"/>
        <w:rPr>
          <w:rFonts w:ascii="宋体" w:eastAsia="宋体" w:hAnsi="宋体" w:cs="Calibri"/>
          <w:color w:val="000000"/>
          <w:kern w:val="0"/>
          <w:szCs w:val="21"/>
        </w:rPr>
      </w:pPr>
    </w:p>
    <w:sectPr w:rsidR="005A2943" w:rsidSect="005A29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93A2DF"/>
    <w:multiLevelType w:val="singleLevel"/>
    <w:tmpl w:val="B893A2DF"/>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k1ZDdmZTkxYTc4Njg1OTczNGFlZDIwMDVlZGYwMjEifQ=="/>
  </w:docVars>
  <w:rsids>
    <w:rsidRoot w:val="005F0FF9"/>
    <w:rsid w:val="000063A6"/>
    <w:rsid w:val="00010E32"/>
    <w:rsid w:val="00012B45"/>
    <w:rsid w:val="00036567"/>
    <w:rsid w:val="00041473"/>
    <w:rsid w:val="00047C93"/>
    <w:rsid w:val="0005325C"/>
    <w:rsid w:val="00053447"/>
    <w:rsid w:val="00066E81"/>
    <w:rsid w:val="000845D6"/>
    <w:rsid w:val="000866CD"/>
    <w:rsid w:val="000A19F7"/>
    <w:rsid w:val="000A37C3"/>
    <w:rsid w:val="000B7D03"/>
    <w:rsid w:val="000C2998"/>
    <w:rsid w:val="000C4780"/>
    <w:rsid w:val="000D3390"/>
    <w:rsid w:val="000D435D"/>
    <w:rsid w:val="000E0433"/>
    <w:rsid w:val="000F38A5"/>
    <w:rsid w:val="000F45A7"/>
    <w:rsid w:val="000F55D3"/>
    <w:rsid w:val="001012B4"/>
    <w:rsid w:val="00105708"/>
    <w:rsid w:val="001128C8"/>
    <w:rsid w:val="00122CE1"/>
    <w:rsid w:val="0012317E"/>
    <w:rsid w:val="00134BDD"/>
    <w:rsid w:val="00135159"/>
    <w:rsid w:val="00137189"/>
    <w:rsid w:val="00142495"/>
    <w:rsid w:val="00144909"/>
    <w:rsid w:val="00147917"/>
    <w:rsid w:val="001500A9"/>
    <w:rsid w:val="00153B98"/>
    <w:rsid w:val="00153D29"/>
    <w:rsid w:val="0015492E"/>
    <w:rsid w:val="00161C3C"/>
    <w:rsid w:val="0016440B"/>
    <w:rsid w:val="00164F8D"/>
    <w:rsid w:val="0017005E"/>
    <w:rsid w:val="00185799"/>
    <w:rsid w:val="00186642"/>
    <w:rsid w:val="00192984"/>
    <w:rsid w:val="001A08E9"/>
    <w:rsid w:val="001D5D31"/>
    <w:rsid w:val="001E2726"/>
    <w:rsid w:val="001F5024"/>
    <w:rsid w:val="001F7AF7"/>
    <w:rsid w:val="0020452E"/>
    <w:rsid w:val="00211961"/>
    <w:rsid w:val="00222108"/>
    <w:rsid w:val="00231B53"/>
    <w:rsid w:val="00254B8C"/>
    <w:rsid w:val="00273DA4"/>
    <w:rsid w:val="0029219E"/>
    <w:rsid w:val="002A313C"/>
    <w:rsid w:val="002B12E2"/>
    <w:rsid w:val="002C0B82"/>
    <w:rsid w:val="002D7C8B"/>
    <w:rsid w:val="002E39DF"/>
    <w:rsid w:val="002E61A1"/>
    <w:rsid w:val="002E7AE9"/>
    <w:rsid w:val="00307FB6"/>
    <w:rsid w:val="0031076A"/>
    <w:rsid w:val="003157F5"/>
    <w:rsid w:val="003158A0"/>
    <w:rsid w:val="0032369D"/>
    <w:rsid w:val="003245A6"/>
    <w:rsid w:val="00335551"/>
    <w:rsid w:val="003466AF"/>
    <w:rsid w:val="00360A56"/>
    <w:rsid w:val="003648F6"/>
    <w:rsid w:val="00372C7B"/>
    <w:rsid w:val="00382A5D"/>
    <w:rsid w:val="00387EA3"/>
    <w:rsid w:val="0039784A"/>
    <w:rsid w:val="003A65B9"/>
    <w:rsid w:val="003C4AD5"/>
    <w:rsid w:val="0040304A"/>
    <w:rsid w:val="004063E7"/>
    <w:rsid w:val="00407342"/>
    <w:rsid w:val="0041332B"/>
    <w:rsid w:val="004228D4"/>
    <w:rsid w:val="00431B29"/>
    <w:rsid w:val="00432895"/>
    <w:rsid w:val="00444DE4"/>
    <w:rsid w:val="00452D24"/>
    <w:rsid w:val="00461C90"/>
    <w:rsid w:val="00493B0F"/>
    <w:rsid w:val="00497AE9"/>
    <w:rsid w:val="004A0701"/>
    <w:rsid w:val="004A78C5"/>
    <w:rsid w:val="004B521F"/>
    <w:rsid w:val="004C1531"/>
    <w:rsid w:val="004E0BDC"/>
    <w:rsid w:val="004E6304"/>
    <w:rsid w:val="00506369"/>
    <w:rsid w:val="00510AEC"/>
    <w:rsid w:val="00517EC1"/>
    <w:rsid w:val="005215A5"/>
    <w:rsid w:val="005232AA"/>
    <w:rsid w:val="00524EFE"/>
    <w:rsid w:val="00531823"/>
    <w:rsid w:val="00531F61"/>
    <w:rsid w:val="00540B51"/>
    <w:rsid w:val="00540EA3"/>
    <w:rsid w:val="00547ADC"/>
    <w:rsid w:val="005516CE"/>
    <w:rsid w:val="00554BFE"/>
    <w:rsid w:val="00564E78"/>
    <w:rsid w:val="00576669"/>
    <w:rsid w:val="00584F5E"/>
    <w:rsid w:val="00586C7A"/>
    <w:rsid w:val="005873F3"/>
    <w:rsid w:val="00593630"/>
    <w:rsid w:val="00594061"/>
    <w:rsid w:val="00595635"/>
    <w:rsid w:val="005A2943"/>
    <w:rsid w:val="005A2A8F"/>
    <w:rsid w:val="005A730C"/>
    <w:rsid w:val="005B1D53"/>
    <w:rsid w:val="005B4903"/>
    <w:rsid w:val="005B5906"/>
    <w:rsid w:val="005B5CED"/>
    <w:rsid w:val="005E26B5"/>
    <w:rsid w:val="005F0FF9"/>
    <w:rsid w:val="00624915"/>
    <w:rsid w:val="00626DF6"/>
    <w:rsid w:val="00634A21"/>
    <w:rsid w:val="0065319A"/>
    <w:rsid w:val="006568AE"/>
    <w:rsid w:val="00662005"/>
    <w:rsid w:val="006670A6"/>
    <w:rsid w:val="006715C2"/>
    <w:rsid w:val="006743CD"/>
    <w:rsid w:val="00686AEB"/>
    <w:rsid w:val="00692B3F"/>
    <w:rsid w:val="00694708"/>
    <w:rsid w:val="006A0E1E"/>
    <w:rsid w:val="006A5027"/>
    <w:rsid w:val="006A79EC"/>
    <w:rsid w:val="006C3287"/>
    <w:rsid w:val="006D31A7"/>
    <w:rsid w:val="006D69E0"/>
    <w:rsid w:val="006F4B7D"/>
    <w:rsid w:val="00705727"/>
    <w:rsid w:val="00733EFE"/>
    <w:rsid w:val="00750AA8"/>
    <w:rsid w:val="00752953"/>
    <w:rsid w:val="00757E7C"/>
    <w:rsid w:val="00762507"/>
    <w:rsid w:val="00776B22"/>
    <w:rsid w:val="00782179"/>
    <w:rsid w:val="007872D0"/>
    <w:rsid w:val="00796FD5"/>
    <w:rsid w:val="007A2D93"/>
    <w:rsid w:val="007C6EB5"/>
    <w:rsid w:val="007E429E"/>
    <w:rsid w:val="007E6C57"/>
    <w:rsid w:val="007F0B92"/>
    <w:rsid w:val="007F1B88"/>
    <w:rsid w:val="00814468"/>
    <w:rsid w:val="00815249"/>
    <w:rsid w:val="00817554"/>
    <w:rsid w:val="008303D1"/>
    <w:rsid w:val="00835926"/>
    <w:rsid w:val="00845099"/>
    <w:rsid w:val="00846E74"/>
    <w:rsid w:val="00847904"/>
    <w:rsid w:val="00850F93"/>
    <w:rsid w:val="00862A8E"/>
    <w:rsid w:val="00864504"/>
    <w:rsid w:val="008729D0"/>
    <w:rsid w:val="008766D9"/>
    <w:rsid w:val="00881E6A"/>
    <w:rsid w:val="0088220E"/>
    <w:rsid w:val="0088331C"/>
    <w:rsid w:val="00885459"/>
    <w:rsid w:val="00887103"/>
    <w:rsid w:val="00891162"/>
    <w:rsid w:val="00897622"/>
    <w:rsid w:val="008B5617"/>
    <w:rsid w:val="008B7D62"/>
    <w:rsid w:val="008C38A2"/>
    <w:rsid w:val="008E65BB"/>
    <w:rsid w:val="008F297F"/>
    <w:rsid w:val="008F4AC6"/>
    <w:rsid w:val="00904391"/>
    <w:rsid w:val="00913894"/>
    <w:rsid w:val="009167E2"/>
    <w:rsid w:val="00917F6C"/>
    <w:rsid w:val="0092733B"/>
    <w:rsid w:val="00933EAB"/>
    <w:rsid w:val="00941D1E"/>
    <w:rsid w:val="00951C6F"/>
    <w:rsid w:val="00957396"/>
    <w:rsid w:val="00960151"/>
    <w:rsid w:val="00966751"/>
    <w:rsid w:val="009678FB"/>
    <w:rsid w:val="009816CB"/>
    <w:rsid w:val="00982575"/>
    <w:rsid w:val="00984BC3"/>
    <w:rsid w:val="009927DC"/>
    <w:rsid w:val="0099332B"/>
    <w:rsid w:val="009C27D6"/>
    <w:rsid w:val="009C70A8"/>
    <w:rsid w:val="009E35B6"/>
    <w:rsid w:val="009E5DC3"/>
    <w:rsid w:val="00A066C7"/>
    <w:rsid w:val="00A145CB"/>
    <w:rsid w:val="00A1468E"/>
    <w:rsid w:val="00A16F6F"/>
    <w:rsid w:val="00A2059D"/>
    <w:rsid w:val="00A30588"/>
    <w:rsid w:val="00A4417E"/>
    <w:rsid w:val="00A4467A"/>
    <w:rsid w:val="00A47EEB"/>
    <w:rsid w:val="00A534AC"/>
    <w:rsid w:val="00A53889"/>
    <w:rsid w:val="00A60441"/>
    <w:rsid w:val="00A608FE"/>
    <w:rsid w:val="00A76ED2"/>
    <w:rsid w:val="00A77AA4"/>
    <w:rsid w:val="00A81542"/>
    <w:rsid w:val="00AA4F88"/>
    <w:rsid w:val="00AA7BAC"/>
    <w:rsid w:val="00AB67C6"/>
    <w:rsid w:val="00AC0F9B"/>
    <w:rsid w:val="00AC2611"/>
    <w:rsid w:val="00AD37E8"/>
    <w:rsid w:val="00AF5292"/>
    <w:rsid w:val="00B013AF"/>
    <w:rsid w:val="00B06163"/>
    <w:rsid w:val="00B103C3"/>
    <w:rsid w:val="00B32947"/>
    <w:rsid w:val="00B40BB8"/>
    <w:rsid w:val="00B4754E"/>
    <w:rsid w:val="00B47DFC"/>
    <w:rsid w:val="00B54E29"/>
    <w:rsid w:val="00B664EE"/>
    <w:rsid w:val="00B80FCC"/>
    <w:rsid w:val="00B87F62"/>
    <w:rsid w:val="00B95086"/>
    <w:rsid w:val="00BA101F"/>
    <w:rsid w:val="00BA2C2B"/>
    <w:rsid w:val="00BB24BB"/>
    <w:rsid w:val="00BB2B6F"/>
    <w:rsid w:val="00BC14D6"/>
    <w:rsid w:val="00BC3C12"/>
    <w:rsid w:val="00BC3D8A"/>
    <w:rsid w:val="00BD2690"/>
    <w:rsid w:val="00BF0517"/>
    <w:rsid w:val="00BF7F4A"/>
    <w:rsid w:val="00C1570B"/>
    <w:rsid w:val="00C204F1"/>
    <w:rsid w:val="00C24E72"/>
    <w:rsid w:val="00C4239D"/>
    <w:rsid w:val="00C62665"/>
    <w:rsid w:val="00C657B9"/>
    <w:rsid w:val="00C66D14"/>
    <w:rsid w:val="00C8577C"/>
    <w:rsid w:val="00C915F4"/>
    <w:rsid w:val="00C92118"/>
    <w:rsid w:val="00C941E5"/>
    <w:rsid w:val="00C963BF"/>
    <w:rsid w:val="00C97B54"/>
    <w:rsid w:val="00CA4CFA"/>
    <w:rsid w:val="00CA5728"/>
    <w:rsid w:val="00CA6C4F"/>
    <w:rsid w:val="00CB23F9"/>
    <w:rsid w:val="00CB4B42"/>
    <w:rsid w:val="00CC2255"/>
    <w:rsid w:val="00CC30EF"/>
    <w:rsid w:val="00CE48D6"/>
    <w:rsid w:val="00CF041F"/>
    <w:rsid w:val="00CF34E7"/>
    <w:rsid w:val="00D1031E"/>
    <w:rsid w:val="00D129AB"/>
    <w:rsid w:val="00D14422"/>
    <w:rsid w:val="00D15EDA"/>
    <w:rsid w:val="00D203DF"/>
    <w:rsid w:val="00D275D5"/>
    <w:rsid w:val="00D33650"/>
    <w:rsid w:val="00D462A3"/>
    <w:rsid w:val="00D51CBF"/>
    <w:rsid w:val="00D61D1C"/>
    <w:rsid w:val="00D63A38"/>
    <w:rsid w:val="00D70414"/>
    <w:rsid w:val="00D70BF7"/>
    <w:rsid w:val="00D77088"/>
    <w:rsid w:val="00D772A5"/>
    <w:rsid w:val="00D80774"/>
    <w:rsid w:val="00D842FC"/>
    <w:rsid w:val="00D87D0D"/>
    <w:rsid w:val="00D969DF"/>
    <w:rsid w:val="00DA00DE"/>
    <w:rsid w:val="00DC1837"/>
    <w:rsid w:val="00DC2D68"/>
    <w:rsid w:val="00DC51DA"/>
    <w:rsid w:val="00DE16FC"/>
    <w:rsid w:val="00DE5A26"/>
    <w:rsid w:val="00DE5CC1"/>
    <w:rsid w:val="00DE77B3"/>
    <w:rsid w:val="00DF5D70"/>
    <w:rsid w:val="00E022BF"/>
    <w:rsid w:val="00E104E7"/>
    <w:rsid w:val="00E12E40"/>
    <w:rsid w:val="00E17BC7"/>
    <w:rsid w:val="00E2674D"/>
    <w:rsid w:val="00E327EA"/>
    <w:rsid w:val="00E35CB7"/>
    <w:rsid w:val="00E4200A"/>
    <w:rsid w:val="00E42FE9"/>
    <w:rsid w:val="00E44BD4"/>
    <w:rsid w:val="00E472B0"/>
    <w:rsid w:val="00E70217"/>
    <w:rsid w:val="00E77DE5"/>
    <w:rsid w:val="00E83C85"/>
    <w:rsid w:val="00E95FDE"/>
    <w:rsid w:val="00EA291B"/>
    <w:rsid w:val="00EB60AC"/>
    <w:rsid w:val="00ED38AD"/>
    <w:rsid w:val="00EE6842"/>
    <w:rsid w:val="00EF7D90"/>
    <w:rsid w:val="00F00FA0"/>
    <w:rsid w:val="00F07918"/>
    <w:rsid w:val="00F27967"/>
    <w:rsid w:val="00F32A0E"/>
    <w:rsid w:val="00F36946"/>
    <w:rsid w:val="00F5032A"/>
    <w:rsid w:val="00F51967"/>
    <w:rsid w:val="00F534D8"/>
    <w:rsid w:val="00F537EC"/>
    <w:rsid w:val="00F76845"/>
    <w:rsid w:val="00F86927"/>
    <w:rsid w:val="00F87967"/>
    <w:rsid w:val="00F91631"/>
    <w:rsid w:val="00F95946"/>
    <w:rsid w:val="00FA340E"/>
    <w:rsid w:val="00FA7DDC"/>
    <w:rsid w:val="00FB3174"/>
    <w:rsid w:val="00FB64C6"/>
    <w:rsid w:val="00FC13F1"/>
    <w:rsid w:val="00FD0E25"/>
    <w:rsid w:val="00FD2B2C"/>
    <w:rsid w:val="00FD3084"/>
    <w:rsid w:val="00FE5065"/>
    <w:rsid w:val="00FF19A2"/>
    <w:rsid w:val="00FF23DB"/>
    <w:rsid w:val="00FF5914"/>
    <w:rsid w:val="03DE2EF6"/>
    <w:rsid w:val="06D91C3E"/>
    <w:rsid w:val="0C826A46"/>
    <w:rsid w:val="1D12234E"/>
    <w:rsid w:val="242E16E8"/>
    <w:rsid w:val="26DB31B1"/>
    <w:rsid w:val="287C56A3"/>
    <w:rsid w:val="28882B05"/>
    <w:rsid w:val="2D104627"/>
    <w:rsid w:val="33F61188"/>
    <w:rsid w:val="373C1C39"/>
    <w:rsid w:val="397D1296"/>
    <w:rsid w:val="3B4079DF"/>
    <w:rsid w:val="3B55612D"/>
    <w:rsid w:val="3BAE066B"/>
    <w:rsid w:val="3CDD12F1"/>
    <w:rsid w:val="3DA804C5"/>
    <w:rsid w:val="3F672502"/>
    <w:rsid w:val="3F873DD1"/>
    <w:rsid w:val="402F015E"/>
    <w:rsid w:val="41E253BD"/>
    <w:rsid w:val="42E46BA5"/>
    <w:rsid w:val="443B3167"/>
    <w:rsid w:val="57556680"/>
    <w:rsid w:val="587055B1"/>
    <w:rsid w:val="5A302251"/>
    <w:rsid w:val="604B4751"/>
    <w:rsid w:val="618010AA"/>
    <w:rsid w:val="63DC1C35"/>
    <w:rsid w:val="755E45F0"/>
    <w:rsid w:val="762768F3"/>
    <w:rsid w:val="76B45E46"/>
    <w:rsid w:val="77B42FB4"/>
    <w:rsid w:val="782A06EE"/>
    <w:rsid w:val="79B921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94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5A2943"/>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5A2943"/>
    <w:rPr>
      <w:rFonts w:ascii="宋体" w:eastAsia="宋体"/>
      <w:sz w:val="18"/>
      <w:szCs w:val="18"/>
    </w:rPr>
  </w:style>
  <w:style w:type="paragraph" w:styleId="a4">
    <w:name w:val="annotation text"/>
    <w:basedOn w:val="a"/>
    <w:link w:val="Char0"/>
    <w:uiPriority w:val="99"/>
    <w:semiHidden/>
    <w:unhideWhenUsed/>
    <w:qFormat/>
    <w:rsid w:val="005A2943"/>
    <w:pPr>
      <w:jc w:val="left"/>
    </w:pPr>
  </w:style>
  <w:style w:type="paragraph" w:styleId="a5">
    <w:name w:val="Balloon Text"/>
    <w:basedOn w:val="a"/>
    <w:link w:val="Char1"/>
    <w:uiPriority w:val="99"/>
    <w:semiHidden/>
    <w:unhideWhenUsed/>
    <w:qFormat/>
    <w:rsid w:val="005A2943"/>
    <w:rPr>
      <w:sz w:val="18"/>
      <w:szCs w:val="18"/>
    </w:rPr>
  </w:style>
  <w:style w:type="paragraph" w:styleId="a6">
    <w:name w:val="footer"/>
    <w:basedOn w:val="a"/>
    <w:link w:val="Char2"/>
    <w:uiPriority w:val="99"/>
    <w:unhideWhenUsed/>
    <w:qFormat/>
    <w:rsid w:val="005A294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5A2943"/>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sid w:val="005A2943"/>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4"/>
    <w:next w:val="a4"/>
    <w:link w:val="Char4"/>
    <w:uiPriority w:val="99"/>
    <w:semiHidden/>
    <w:unhideWhenUsed/>
    <w:qFormat/>
    <w:rsid w:val="005A2943"/>
    <w:rPr>
      <w:b/>
      <w:bCs/>
    </w:rPr>
  </w:style>
  <w:style w:type="character" w:styleId="aa">
    <w:name w:val="Hyperlink"/>
    <w:uiPriority w:val="99"/>
    <w:unhideWhenUsed/>
    <w:qFormat/>
    <w:rsid w:val="005A2943"/>
    <w:rPr>
      <w:color w:val="0000FF"/>
      <w:u w:val="single"/>
    </w:rPr>
  </w:style>
  <w:style w:type="character" w:styleId="ab">
    <w:name w:val="annotation reference"/>
    <w:basedOn w:val="a0"/>
    <w:uiPriority w:val="99"/>
    <w:semiHidden/>
    <w:unhideWhenUsed/>
    <w:qFormat/>
    <w:rsid w:val="005A2943"/>
    <w:rPr>
      <w:sz w:val="21"/>
      <w:szCs w:val="21"/>
    </w:rPr>
  </w:style>
  <w:style w:type="paragraph" w:customStyle="1" w:styleId="source-date1">
    <w:name w:val="source-date1"/>
    <w:basedOn w:val="a"/>
    <w:qFormat/>
    <w:rsid w:val="005A2943"/>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customStyle="1" w:styleId="Char0">
    <w:name w:val="批注文字 Char"/>
    <w:basedOn w:val="a0"/>
    <w:link w:val="a4"/>
    <w:uiPriority w:val="99"/>
    <w:semiHidden/>
    <w:qFormat/>
    <w:rsid w:val="005A2943"/>
  </w:style>
  <w:style w:type="character" w:customStyle="1" w:styleId="Char4">
    <w:name w:val="批注主题 Char"/>
    <w:basedOn w:val="Char0"/>
    <w:link w:val="a9"/>
    <w:uiPriority w:val="99"/>
    <w:semiHidden/>
    <w:qFormat/>
    <w:rsid w:val="005A2943"/>
    <w:rPr>
      <w:b/>
      <w:bCs/>
    </w:rPr>
  </w:style>
  <w:style w:type="character" w:customStyle="1" w:styleId="Char1">
    <w:name w:val="批注框文本 Char"/>
    <w:basedOn w:val="a0"/>
    <w:link w:val="a5"/>
    <w:uiPriority w:val="99"/>
    <w:semiHidden/>
    <w:qFormat/>
    <w:rsid w:val="005A2943"/>
    <w:rPr>
      <w:sz w:val="18"/>
      <w:szCs w:val="18"/>
    </w:rPr>
  </w:style>
  <w:style w:type="character" w:customStyle="1" w:styleId="Char3">
    <w:name w:val="页眉 Char"/>
    <w:basedOn w:val="a0"/>
    <w:link w:val="a7"/>
    <w:uiPriority w:val="99"/>
    <w:qFormat/>
    <w:rsid w:val="005A2943"/>
    <w:rPr>
      <w:sz w:val="18"/>
      <w:szCs w:val="18"/>
    </w:rPr>
  </w:style>
  <w:style w:type="character" w:customStyle="1" w:styleId="Char2">
    <w:name w:val="页脚 Char"/>
    <w:basedOn w:val="a0"/>
    <w:link w:val="a6"/>
    <w:uiPriority w:val="99"/>
    <w:qFormat/>
    <w:rsid w:val="005A2943"/>
    <w:rPr>
      <w:sz w:val="18"/>
      <w:szCs w:val="18"/>
    </w:rPr>
  </w:style>
  <w:style w:type="character" w:customStyle="1" w:styleId="Char">
    <w:name w:val="文档结构图 Char"/>
    <w:basedOn w:val="a0"/>
    <w:link w:val="a3"/>
    <w:uiPriority w:val="99"/>
    <w:semiHidden/>
    <w:qFormat/>
    <w:rsid w:val="005A2943"/>
    <w:rPr>
      <w:rFonts w:ascii="宋体" w:eastAsia="宋体"/>
      <w:sz w:val="18"/>
      <w:szCs w:val="18"/>
    </w:rPr>
  </w:style>
  <w:style w:type="paragraph" w:customStyle="1" w:styleId="1">
    <w:name w:val="修订1"/>
    <w:hidden/>
    <w:uiPriority w:val="99"/>
    <w:unhideWhenUsed/>
    <w:qFormat/>
    <w:rsid w:val="005A2943"/>
    <w:rPr>
      <w:rFonts w:asciiTheme="minorHAnsi" w:eastAsiaTheme="minorEastAsia" w:hAnsiTheme="minorHAnsi" w:cstheme="minorBidi"/>
      <w:kern w:val="2"/>
      <w:sz w:val="21"/>
      <w:szCs w:val="22"/>
    </w:rPr>
  </w:style>
  <w:style w:type="character" w:customStyle="1" w:styleId="10">
    <w:name w:val="不明显强调1"/>
    <w:basedOn w:val="a0"/>
    <w:uiPriority w:val="19"/>
    <w:qFormat/>
    <w:rsid w:val="005A2943"/>
    <w:rPr>
      <w:i/>
      <w:iCs/>
      <w:color w:val="7F7F7F" w:themeColor="text1" w:themeTint="80"/>
    </w:rPr>
  </w:style>
  <w:style w:type="paragraph" w:customStyle="1" w:styleId="20">
    <w:name w:val="修订2"/>
    <w:hidden/>
    <w:uiPriority w:val="99"/>
    <w:semiHidden/>
    <w:qFormat/>
    <w:rsid w:val="005A2943"/>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ianyancha.com/security?target=http://www.gzs.com.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42865-4859-4B55-BD75-73653C76E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238</Words>
  <Characters>1360</Characters>
  <Application>Microsoft Office Word</Application>
  <DocSecurity>4</DocSecurity>
  <Lines>11</Lines>
  <Paragraphs>3</Paragraphs>
  <ScaleCrop>false</ScaleCrop>
  <Company>Microsoft</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周宁</dc:creator>
  <cp:lastModifiedBy>ZHONGM</cp:lastModifiedBy>
  <cp:revision>2</cp:revision>
  <dcterms:created xsi:type="dcterms:W3CDTF">2024-06-16T16:00:00Z</dcterms:created>
  <dcterms:modified xsi:type="dcterms:W3CDTF">2024-06-16T16:00:00Z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F004A3302CF24D24924DD7735E1A3A7C_13</vt:lpwstr>
  </property>
</Properties>
</file>