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center"/>
        <w:rPr>
          <w:sz w:val="48"/>
          <w:szCs w:val="48"/>
          <w:lang w:eastAsia="zh-CN"/>
        </w:rPr>
      </w:pPr>
      <w:r>
        <w:rPr>
          <w:rFonts w:ascii="宋体" w:eastAsia="宋体" w:hAnsi="宋体" w:cs="宋体"/>
          <w:b/>
          <w:bCs/>
          <w:sz w:val="48"/>
          <w:szCs w:val="48"/>
          <w:lang w:eastAsia="zh-CN"/>
        </w:rPr>
        <w:t>鹏华精新添利债券型证券投资基金开放日常申购、赎回、转换和定期定额投资业务的公告</w:t>
      </w:r>
    </w:p>
    <w:p w:rsidR="00EA30AD" w:rsidRDefault="00914373">
      <w:pPr>
        <w:widowControl w:val="0"/>
        <w:jc w:val="center"/>
        <w:rPr>
          <w:sz w:val="30"/>
          <w:szCs w:val="30"/>
          <w:lang w:eastAsia="zh-CN"/>
        </w:rPr>
      </w:pPr>
      <w:r>
        <w:rPr>
          <w:rFonts w:eastAsia="Times New Roman"/>
          <w:sz w:val="30"/>
          <w:szCs w:val="30"/>
          <w:lang w:eastAsia="zh-CN"/>
        </w:rPr>
        <w:t> </w:t>
      </w:r>
    </w:p>
    <w:p w:rsidR="00EA30AD" w:rsidRDefault="00914373">
      <w:pPr>
        <w:widowControl w:val="0"/>
        <w:jc w:val="center"/>
        <w:rPr>
          <w:sz w:val="30"/>
          <w:szCs w:val="30"/>
          <w:lang w:eastAsia="zh-CN"/>
        </w:rPr>
      </w:pPr>
      <w:r>
        <w:rPr>
          <w:rFonts w:eastAsia="Times New Roman"/>
          <w:sz w:val="30"/>
          <w:szCs w:val="30"/>
          <w:lang w:eastAsia="zh-CN"/>
        </w:rPr>
        <w:t> </w:t>
      </w:r>
    </w:p>
    <w:p w:rsidR="00EA30AD" w:rsidRDefault="00914373">
      <w:pPr>
        <w:widowControl w:val="0"/>
        <w:jc w:val="center"/>
        <w:rPr>
          <w:sz w:val="30"/>
          <w:szCs w:val="30"/>
          <w:lang w:eastAsia="zh-CN"/>
        </w:rPr>
      </w:pPr>
      <w:r>
        <w:rPr>
          <w:rFonts w:eastAsia="Times New Roman"/>
          <w:sz w:val="30"/>
          <w:szCs w:val="30"/>
          <w:lang w:eastAsia="zh-CN"/>
        </w:rPr>
        <w:t> </w:t>
      </w:r>
    </w:p>
    <w:p w:rsidR="00EA30AD" w:rsidRDefault="00914373">
      <w:pPr>
        <w:widowControl w:val="0"/>
        <w:jc w:val="center"/>
        <w:rPr>
          <w:sz w:val="30"/>
          <w:szCs w:val="30"/>
          <w:lang w:eastAsia="zh-CN"/>
        </w:rPr>
      </w:pPr>
      <w:r>
        <w:rPr>
          <w:rFonts w:eastAsia="Times New Roman"/>
          <w:sz w:val="30"/>
          <w:szCs w:val="30"/>
          <w:lang w:eastAsia="zh-CN"/>
        </w:rPr>
        <w:t> </w:t>
      </w:r>
    </w:p>
    <w:p w:rsidR="00EA30AD" w:rsidRDefault="00914373">
      <w:pPr>
        <w:widowControl w:val="0"/>
        <w:jc w:val="center"/>
        <w:rPr>
          <w:sz w:val="30"/>
          <w:szCs w:val="30"/>
          <w:lang w:eastAsia="zh-CN"/>
        </w:rPr>
      </w:pPr>
      <w:r>
        <w:rPr>
          <w:rFonts w:eastAsia="Times New Roman"/>
          <w:sz w:val="30"/>
          <w:szCs w:val="30"/>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jc w:val="both"/>
        <w:rPr>
          <w:lang w:eastAsia="zh-CN"/>
        </w:rPr>
      </w:pPr>
      <w:r>
        <w:rPr>
          <w:rFonts w:eastAsia="Times New Roman"/>
          <w:lang w:eastAsia="zh-CN"/>
        </w:rPr>
        <w:t> </w:t>
      </w:r>
    </w:p>
    <w:p w:rsidR="00EA30AD" w:rsidRDefault="00914373">
      <w:pPr>
        <w:widowControl w:val="0"/>
        <w:ind w:left="2100" w:firstLine="420"/>
        <w:jc w:val="both"/>
        <w:rPr>
          <w:sz w:val="28"/>
          <w:szCs w:val="28"/>
        </w:rPr>
      </w:pPr>
      <w:r>
        <w:rPr>
          <w:rFonts w:ascii="宋体" w:eastAsia="宋体" w:hAnsi="宋体" w:cs="宋体"/>
          <w:b/>
          <w:bCs/>
          <w:sz w:val="28"/>
          <w:szCs w:val="28"/>
          <w:lang w:eastAsia="zh-CN"/>
        </w:rPr>
        <w:t>公告送出日期：2024年06月11日</w:t>
      </w:r>
    </w:p>
    <w:p w:rsidR="00EA30AD" w:rsidRDefault="00914373">
      <w:pPr>
        <w:widowControl w:val="0"/>
        <w:jc w:val="both"/>
      </w:pPr>
      <w:r>
        <w:rPr>
          <w:rFonts w:eastAsia="Times New Roman"/>
          <w:lang w:eastAsia="zh-CN"/>
        </w:rPr>
        <w:t> </w:t>
      </w:r>
    </w:p>
    <w:p w:rsidR="00EA30AD" w:rsidRDefault="00914373">
      <w:pPr>
        <w:widowControl w:val="0"/>
        <w:jc w:val="both"/>
      </w:pPr>
      <w:r>
        <w:rPr>
          <w:rFonts w:eastAsia="Times New Roman"/>
          <w:lang w:eastAsia="zh-CN"/>
        </w:rPr>
        <w:t> </w:t>
      </w:r>
    </w:p>
    <w:p w:rsidR="00EA30AD" w:rsidRDefault="00914373">
      <w:pPr>
        <w:widowControl w:val="0"/>
        <w:jc w:val="both"/>
      </w:pPr>
      <w:r>
        <w:rPr>
          <w:rFonts w:eastAsia="Times New Roman"/>
          <w:lang w:eastAsia="zh-CN"/>
        </w:rPr>
        <w:t> </w:t>
      </w:r>
    </w:p>
    <w:p w:rsidR="00EA30AD" w:rsidRDefault="00914373">
      <w:pPr>
        <w:widowControl w:val="0"/>
        <w:jc w:val="both"/>
      </w:pPr>
      <w:r>
        <w:rPr>
          <w:rFonts w:eastAsia="Times New Roman"/>
          <w:lang w:eastAsia="zh-CN"/>
        </w:rPr>
        <w:t> </w:t>
      </w:r>
    </w:p>
    <w:p w:rsidR="00EA30AD" w:rsidRDefault="00914373">
      <w:pPr>
        <w:widowControl w:val="0"/>
        <w:jc w:val="both"/>
      </w:pPr>
      <w:r>
        <w:rPr>
          <w:rFonts w:eastAsia="Times New Roman"/>
          <w:lang w:eastAsia="zh-CN"/>
        </w:rPr>
        <w:t> </w:t>
      </w:r>
    </w:p>
    <w:p w:rsidR="00EA30AD" w:rsidRDefault="00914373">
      <w:pPr>
        <w:widowControl w:val="0"/>
        <w:jc w:val="both"/>
      </w:pPr>
      <w:r>
        <w:rPr>
          <w:rFonts w:eastAsia="Times New Roman"/>
          <w:lang w:eastAsia="zh-CN"/>
        </w:rPr>
        <w:t> </w:t>
      </w:r>
    </w:p>
    <w:p w:rsidR="00EA30AD" w:rsidRDefault="00914373">
      <w:pPr>
        <w:widowControl w:val="0"/>
        <w:jc w:val="both"/>
      </w:pPr>
      <w:r>
        <w:rPr>
          <w:rFonts w:eastAsia="Times New Roman"/>
          <w:lang w:eastAsia="zh-CN"/>
        </w:rPr>
        <w:t> </w:t>
      </w:r>
    </w:p>
    <w:p w:rsidR="00EA30AD" w:rsidRDefault="00914373">
      <w:pPr>
        <w:widowControl w:val="0"/>
        <w:jc w:val="both"/>
      </w:pPr>
      <w:r>
        <w:rPr>
          <w:rFonts w:eastAsia="Times New Roman"/>
          <w:lang w:eastAsia="zh-CN"/>
        </w:rPr>
        <w:t> </w:t>
      </w:r>
    </w:p>
    <w:p w:rsidR="00EA30AD" w:rsidRDefault="00914373">
      <w:pPr>
        <w:pStyle w:val="2"/>
        <w:keepLines/>
        <w:widowControl w:val="0"/>
        <w:spacing w:before="156" w:after="156"/>
        <w:rPr>
          <w:rFonts w:ascii="Times New Roman" w:hAnsi="Times New Roman" w:cs="Times New Roman"/>
        </w:rPr>
      </w:pPr>
      <w:r>
        <w:rPr>
          <w:rFonts w:ascii="宋体" w:eastAsia="宋体" w:hAnsi="宋体" w:cs="宋体"/>
          <w:i w:val="0"/>
          <w:iCs w:val="0"/>
          <w:sz w:val="24"/>
          <w:szCs w:val="24"/>
          <w:lang w:eastAsia="zh-CN"/>
        </w:rPr>
        <w:lastRenderedPageBreak/>
        <w:t>1公告基本信息</w:t>
      </w:r>
    </w:p>
    <w:tbl>
      <w:tblPr>
        <w:tblW w:w="8295" w:type="dxa"/>
        <w:tblInd w:w="116" w:type="dxa"/>
        <w:tblCellMar>
          <w:left w:w="0" w:type="dxa"/>
          <w:right w:w="0" w:type="dxa"/>
        </w:tblCellMar>
        <w:tblLook w:val="04A0"/>
      </w:tblPr>
      <w:tblGrid>
        <w:gridCol w:w="3115"/>
        <w:gridCol w:w="2540"/>
        <w:gridCol w:w="2640"/>
      </w:tblGrid>
      <w:tr w:rsidR="00EA30AD" w:rsidRPr="0003338C">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基金名称</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lang w:eastAsia="zh-CN"/>
              </w:rPr>
            </w:pPr>
            <w:r w:rsidRPr="0003338C">
              <w:rPr>
                <w:rFonts w:ascii="宋体" w:eastAsia="宋体" w:hAnsi="宋体" w:cs="宋体"/>
                <w:sz w:val="21"/>
                <w:szCs w:val="21"/>
                <w:lang w:eastAsia="zh-CN"/>
              </w:rPr>
              <w:t>鹏华精新添利债券型证券投资基金</w:t>
            </w:r>
          </w:p>
        </w:tc>
      </w:tr>
      <w:tr w:rsidR="00EA30AD" w:rsidRPr="0003338C">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基金简称</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鹏华精新添利债券</w:t>
            </w:r>
          </w:p>
        </w:tc>
      </w:tr>
      <w:tr w:rsidR="00EA30AD" w:rsidRPr="0003338C">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基金主代码</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019602</w:t>
            </w:r>
          </w:p>
        </w:tc>
      </w:tr>
      <w:tr w:rsidR="00EA30AD" w:rsidRPr="0003338C">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基金运作方式</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rPr>
                <w:rFonts w:ascii="宋体" w:eastAsia="宋体" w:hAnsi="宋体" w:cs="宋体"/>
                <w:sz w:val="21"/>
                <w:szCs w:val="21"/>
              </w:rPr>
            </w:pPr>
            <w:r w:rsidRPr="0003338C">
              <w:rPr>
                <w:rFonts w:ascii="宋体" w:eastAsia="宋体" w:hAnsi="宋体" w:cs="宋体"/>
                <w:sz w:val="21"/>
                <w:szCs w:val="21"/>
                <w:lang w:eastAsia="zh-CN"/>
              </w:rPr>
              <w:t>契约型开放式</w:t>
            </w:r>
          </w:p>
        </w:tc>
      </w:tr>
      <w:tr w:rsidR="00EA30AD" w:rsidRPr="0003338C">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基金合同生效日</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2024年06月06日</w:t>
            </w:r>
          </w:p>
        </w:tc>
      </w:tr>
      <w:tr w:rsidR="00EA30AD" w:rsidRPr="0003338C">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基金管理人名称</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lang w:eastAsia="zh-CN"/>
              </w:rPr>
            </w:pPr>
            <w:r w:rsidRPr="0003338C">
              <w:rPr>
                <w:rFonts w:ascii="宋体" w:eastAsia="宋体" w:hAnsi="宋体" w:cs="宋体"/>
                <w:sz w:val="21"/>
                <w:szCs w:val="21"/>
                <w:lang w:eastAsia="zh-CN"/>
              </w:rPr>
              <w:t>鹏华基金管理有限公司</w:t>
            </w:r>
          </w:p>
        </w:tc>
      </w:tr>
      <w:tr w:rsidR="00EA30AD" w:rsidRPr="0003338C">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基金托管人名称</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lang w:eastAsia="zh-CN"/>
              </w:rPr>
            </w:pPr>
            <w:r w:rsidRPr="0003338C">
              <w:rPr>
                <w:rFonts w:ascii="宋体" w:eastAsia="宋体" w:hAnsi="宋体" w:cs="宋体"/>
                <w:sz w:val="21"/>
                <w:szCs w:val="21"/>
                <w:lang w:eastAsia="zh-CN"/>
              </w:rPr>
              <w:t>杭州银行股份有限公司</w:t>
            </w:r>
          </w:p>
        </w:tc>
      </w:tr>
      <w:tr w:rsidR="00EA30AD" w:rsidRPr="0003338C">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lang w:eastAsia="zh-CN"/>
              </w:rPr>
            </w:pPr>
            <w:r w:rsidRPr="0003338C">
              <w:rPr>
                <w:rFonts w:ascii="宋体" w:eastAsia="宋体" w:hAnsi="宋体" w:cs="宋体"/>
                <w:sz w:val="21"/>
                <w:szCs w:val="21"/>
                <w:lang w:eastAsia="zh-CN"/>
              </w:rPr>
              <w:t>基金份额登记机构名称</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lang w:eastAsia="zh-CN"/>
              </w:rPr>
            </w:pPr>
            <w:r w:rsidRPr="0003338C">
              <w:rPr>
                <w:rFonts w:ascii="宋体" w:eastAsia="宋体" w:hAnsi="宋体" w:cs="宋体"/>
                <w:sz w:val="21"/>
                <w:szCs w:val="21"/>
                <w:lang w:eastAsia="zh-CN"/>
              </w:rPr>
              <w:t>鹏华基金管理有限公司</w:t>
            </w:r>
          </w:p>
        </w:tc>
      </w:tr>
      <w:tr w:rsidR="00EA30AD" w:rsidRPr="0003338C">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公告依据</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lang w:eastAsia="zh-CN"/>
              </w:rPr>
            </w:pPr>
            <w:r w:rsidRPr="0003338C">
              <w:rPr>
                <w:rFonts w:ascii="宋体" w:eastAsia="宋体" w:hAnsi="宋体" w:cs="宋体"/>
                <w:sz w:val="21"/>
                <w:szCs w:val="21"/>
                <w:lang w:eastAsia="zh-CN"/>
              </w:rPr>
              <w:t>《鹏华精新添利债券型证券投资基金基金合同》（以下简称“基金合同”）、《鹏华精新添利债券型证券投资基金招募说明书》（以下简称“招募说明书”）</w:t>
            </w:r>
          </w:p>
        </w:tc>
      </w:tr>
      <w:tr w:rsidR="00EA30AD" w:rsidRPr="0003338C">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申购起始日</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2024年06月12日</w:t>
            </w:r>
          </w:p>
        </w:tc>
      </w:tr>
      <w:tr w:rsidR="00EA30AD" w:rsidRPr="0003338C">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赎回起始日</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2024年06月12日</w:t>
            </w:r>
          </w:p>
        </w:tc>
      </w:tr>
      <w:tr w:rsidR="00EA30AD" w:rsidRPr="0003338C">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转换转出起始日</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2024年06月12日</w:t>
            </w:r>
          </w:p>
        </w:tc>
      </w:tr>
      <w:tr w:rsidR="00EA30AD" w:rsidRPr="0003338C">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转换转入起始日</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2024年06月12日</w:t>
            </w:r>
          </w:p>
        </w:tc>
      </w:tr>
      <w:tr w:rsidR="00EA30AD" w:rsidRPr="0003338C">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定期定额投资起始日</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2024年06月12日</w:t>
            </w:r>
          </w:p>
        </w:tc>
      </w:tr>
      <w:tr w:rsidR="00EA30AD" w:rsidRPr="0003338C">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lang w:eastAsia="zh-CN"/>
              </w:rPr>
            </w:pPr>
            <w:r w:rsidRPr="0003338C">
              <w:rPr>
                <w:rFonts w:ascii="宋体" w:eastAsia="宋体" w:hAnsi="宋体" w:cs="宋体"/>
                <w:sz w:val="21"/>
                <w:szCs w:val="21"/>
                <w:lang w:eastAsia="zh-CN"/>
              </w:rPr>
              <w:t>下属基金份额类别的基金简称</w:t>
            </w:r>
          </w:p>
        </w:tc>
        <w:tc>
          <w:tcPr>
            <w:tcW w:w="26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鹏华精新添利债券A</w:t>
            </w:r>
          </w:p>
        </w:tc>
        <w:tc>
          <w:tcPr>
            <w:tcW w:w="274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rPr>
            </w:pPr>
            <w:r w:rsidRPr="0003338C">
              <w:rPr>
                <w:rFonts w:ascii="宋体" w:eastAsia="宋体" w:hAnsi="宋体" w:cs="宋体"/>
                <w:sz w:val="21"/>
                <w:szCs w:val="21"/>
                <w:lang w:eastAsia="zh-CN"/>
              </w:rPr>
              <w:t>鹏华精新添利债券C</w:t>
            </w:r>
          </w:p>
        </w:tc>
      </w:tr>
      <w:tr w:rsidR="00EA30AD" w:rsidRPr="0003338C">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lang w:eastAsia="zh-CN"/>
              </w:rPr>
            </w:pPr>
            <w:r w:rsidRPr="0003338C">
              <w:rPr>
                <w:rFonts w:ascii="宋体" w:eastAsia="宋体" w:hAnsi="宋体" w:cs="宋体"/>
                <w:sz w:val="21"/>
                <w:szCs w:val="21"/>
                <w:lang w:eastAsia="zh-CN"/>
              </w:rPr>
              <w:t>下属基金份额类别的基金代码</w:t>
            </w:r>
          </w:p>
        </w:tc>
        <w:tc>
          <w:tcPr>
            <w:tcW w:w="26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rPr>
                <w:rFonts w:ascii="宋体" w:eastAsia="宋体" w:hAnsi="宋体" w:cs="宋体"/>
                <w:sz w:val="21"/>
                <w:szCs w:val="21"/>
              </w:rPr>
            </w:pPr>
            <w:r w:rsidRPr="0003338C">
              <w:rPr>
                <w:rFonts w:ascii="宋体" w:eastAsia="宋体" w:hAnsi="宋体" w:cs="宋体"/>
                <w:sz w:val="21"/>
                <w:szCs w:val="21"/>
                <w:lang w:eastAsia="zh-CN"/>
              </w:rPr>
              <w:t>019602</w:t>
            </w:r>
          </w:p>
        </w:tc>
        <w:tc>
          <w:tcPr>
            <w:tcW w:w="274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rPr>
                <w:rFonts w:ascii="宋体" w:eastAsia="宋体" w:hAnsi="宋体" w:cs="宋体"/>
                <w:sz w:val="21"/>
                <w:szCs w:val="21"/>
              </w:rPr>
            </w:pPr>
            <w:r w:rsidRPr="0003338C">
              <w:rPr>
                <w:rFonts w:ascii="宋体" w:eastAsia="宋体" w:hAnsi="宋体" w:cs="宋体"/>
                <w:sz w:val="21"/>
                <w:szCs w:val="21"/>
                <w:lang w:eastAsia="zh-CN"/>
              </w:rPr>
              <w:t>019603</w:t>
            </w:r>
          </w:p>
        </w:tc>
      </w:tr>
      <w:tr w:rsidR="00EA30AD" w:rsidRPr="0003338C">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jc w:val="both"/>
              <w:rPr>
                <w:rFonts w:ascii="宋体" w:eastAsia="宋体" w:hAnsi="宋体" w:cs="宋体"/>
                <w:sz w:val="21"/>
                <w:szCs w:val="21"/>
                <w:lang w:eastAsia="zh-CN"/>
              </w:rPr>
            </w:pPr>
            <w:r w:rsidRPr="0003338C">
              <w:rPr>
                <w:rFonts w:ascii="宋体" w:eastAsia="宋体" w:hAnsi="宋体" w:cs="宋体"/>
                <w:sz w:val="21"/>
                <w:szCs w:val="21"/>
                <w:lang w:eastAsia="zh-CN"/>
              </w:rPr>
              <w:t>该类基金份额是否开放申购、赎回、转换、定期定额投资</w:t>
            </w:r>
          </w:p>
        </w:tc>
        <w:tc>
          <w:tcPr>
            <w:tcW w:w="26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rPr>
                <w:rFonts w:ascii="宋体" w:eastAsia="宋体" w:hAnsi="宋体" w:cs="宋体"/>
                <w:sz w:val="21"/>
                <w:szCs w:val="21"/>
              </w:rPr>
            </w:pPr>
            <w:r w:rsidRPr="0003338C">
              <w:rPr>
                <w:rFonts w:ascii="宋体" w:eastAsia="宋体" w:hAnsi="宋体" w:cs="宋体"/>
                <w:sz w:val="21"/>
                <w:szCs w:val="21"/>
                <w:lang w:eastAsia="zh-CN"/>
              </w:rPr>
              <w:t>是</w:t>
            </w:r>
          </w:p>
        </w:tc>
        <w:tc>
          <w:tcPr>
            <w:tcW w:w="274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EA30AD" w:rsidRPr="0003338C" w:rsidRDefault="00914373" w:rsidP="0003338C">
            <w:pPr>
              <w:widowControl w:val="0"/>
              <w:rPr>
                <w:rFonts w:ascii="宋体" w:eastAsia="宋体" w:hAnsi="宋体" w:cs="宋体"/>
                <w:sz w:val="21"/>
                <w:szCs w:val="21"/>
              </w:rPr>
            </w:pPr>
            <w:r w:rsidRPr="0003338C">
              <w:rPr>
                <w:rFonts w:ascii="宋体" w:eastAsia="宋体" w:hAnsi="宋体" w:cs="宋体"/>
                <w:sz w:val="21"/>
                <w:szCs w:val="21"/>
                <w:lang w:eastAsia="zh-CN"/>
              </w:rPr>
              <w:t>是</w:t>
            </w:r>
          </w:p>
        </w:tc>
      </w:tr>
    </w:tbl>
    <w:p w:rsidR="00EA30AD" w:rsidRDefault="00914373">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2日常申购、赎回、转换、定期定额投资业务的办理时间</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鹏华精新添利债券型证券投资基金（以下简称“本基金”）自2024年06月12日起（含当日）开放日常申购、赎回、转换和定期定额投资业务。</w:t>
      </w:r>
    </w:p>
    <w:p w:rsidR="00EA30AD" w:rsidRDefault="00914373">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3申购业务</w:t>
      </w:r>
    </w:p>
    <w:p w:rsidR="00EA30AD" w:rsidRDefault="00914373">
      <w:pPr>
        <w:widowControl w:val="0"/>
        <w:spacing w:before="156" w:after="156"/>
        <w:rPr>
          <w:lang w:eastAsia="zh-CN"/>
        </w:rPr>
      </w:pPr>
      <w:r>
        <w:rPr>
          <w:rFonts w:ascii="宋体" w:eastAsia="宋体" w:hAnsi="宋体" w:cs="宋体"/>
          <w:b/>
          <w:bCs/>
          <w:lang w:eastAsia="zh-CN"/>
        </w:rPr>
        <w:t>3.1申购金额限制</w:t>
      </w:r>
    </w:p>
    <w:p w:rsidR="00EA30AD" w:rsidRDefault="00914373" w:rsidP="0003338C">
      <w:pPr>
        <w:spacing w:line="360" w:lineRule="auto"/>
        <w:ind w:firstLine="420"/>
        <w:rPr>
          <w:sz w:val="21"/>
          <w:szCs w:val="21"/>
          <w:lang w:eastAsia="zh-CN"/>
        </w:rPr>
      </w:pPr>
      <w:r>
        <w:rPr>
          <w:rFonts w:ascii="宋体" w:eastAsia="宋体" w:hAnsi="宋体" w:cs="宋体"/>
          <w:sz w:val="21"/>
          <w:szCs w:val="21"/>
          <w:lang w:eastAsia="zh-CN"/>
        </w:rPr>
        <w:t>1、投资人通过销售机构申购本基金，单笔最低申购金额为1元，各销售机构对本基金最低申购金额及交易级差有其他规定的，以各销售机构的业务规定为准。通过基金管理人直销中心申购本基金，首次最低申购金额为100万元，追加申购单笔最低金额为1万元，但根据法律法规或基金管理人的要求无法通过网上直销渠道申购的不受前述限制。本基金直销中心单笔申购最低金额与申购级差限制可由基金管理人酌情调整。</w:t>
      </w:r>
    </w:p>
    <w:p w:rsidR="00EA30AD" w:rsidRPr="0003338C" w:rsidRDefault="00914373" w:rsidP="0003338C">
      <w:pPr>
        <w:spacing w:line="360" w:lineRule="auto"/>
        <w:ind w:firstLineChars="200" w:firstLine="420"/>
        <w:rPr>
          <w:rFonts w:ascii="宋体" w:eastAsia="宋体" w:hAnsi="宋体" w:cs="宋体"/>
          <w:sz w:val="21"/>
          <w:szCs w:val="21"/>
          <w:lang w:eastAsia="zh-CN"/>
        </w:rPr>
      </w:pPr>
      <w:r w:rsidRPr="0003338C">
        <w:rPr>
          <w:rFonts w:ascii="宋体" w:eastAsia="宋体" w:hAnsi="宋体" w:cs="宋体"/>
          <w:sz w:val="21"/>
          <w:szCs w:val="21"/>
          <w:lang w:eastAsia="zh-CN"/>
        </w:rPr>
        <w:t>2、本基金对单个基金份额持有人不设置最高申购金额限制，但单一投资者持有基金份额数不得达到或超过基金份额总数的50%（在基金运作过程中因基金份额赎回等情形导致被动达到或超过50%的除外）。</w:t>
      </w:r>
    </w:p>
    <w:p w:rsidR="00EA30AD" w:rsidRPr="0003338C" w:rsidRDefault="00914373" w:rsidP="0003338C">
      <w:pPr>
        <w:spacing w:line="360" w:lineRule="auto"/>
        <w:ind w:firstLineChars="200" w:firstLine="420"/>
        <w:rPr>
          <w:rFonts w:ascii="宋体" w:eastAsia="宋体" w:hAnsi="宋体" w:cs="宋体"/>
          <w:sz w:val="21"/>
          <w:szCs w:val="21"/>
          <w:lang w:eastAsia="zh-CN"/>
        </w:rPr>
      </w:pPr>
      <w:r w:rsidRPr="0003338C">
        <w:rPr>
          <w:rFonts w:ascii="宋体" w:eastAsia="宋体" w:hAnsi="宋体" w:cs="宋体"/>
          <w:sz w:val="21"/>
          <w:szCs w:val="21"/>
          <w:lang w:eastAsia="zh-CN"/>
        </w:rPr>
        <w:t>3、</w:t>
      </w:r>
      <w:r>
        <w:rPr>
          <w:rFonts w:ascii="宋体" w:eastAsia="宋体" w:hAnsi="宋体" w:cs="宋体"/>
          <w:sz w:val="21"/>
          <w:szCs w:val="21"/>
          <w:lang w:eastAsia="zh-CN"/>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EA30AD" w:rsidRDefault="00914373">
      <w:pPr>
        <w:widowControl w:val="0"/>
        <w:spacing w:before="156" w:after="156"/>
        <w:rPr>
          <w:lang w:eastAsia="zh-CN"/>
        </w:rPr>
      </w:pPr>
      <w:r>
        <w:rPr>
          <w:rFonts w:ascii="宋体" w:eastAsia="宋体" w:hAnsi="宋体" w:cs="宋体"/>
          <w:b/>
          <w:bCs/>
          <w:lang w:eastAsia="zh-CN"/>
        </w:rPr>
        <w:lastRenderedPageBreak/>
        <w:t>3.2申购费率</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本基金A类基金份额在申购时收取申购费用，C类基金份额不收取申购费用。</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本基金A类基金份额的申购费率如下表所示：</w:t>
      </w:r>
    </w:p>
    <w:tbl>
      <w:tblPr>
        <w:tblStyle w:val="MsoNormalTable0"/>
        <w:tblW w:w="7945" w:type="dxa"/>
        <w:tblInd w:w="653"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5E0"/>
      </w:tblPr>
      <w:tblGrid>
        <w:gridCol w:w="3156"/>
        <w:gridCol w:w="2428"/>
        <w:gridCol w:w="2361"/>
      </w:tblGrid>
      <w:tr w:rsidR="00EA30AD" w:rsidRPr="0003338C">
        <w:trPr>
          <w:trHeight w:val="415"/>
        </w:trPr>
        <w:tc>
          <w:tcPr>
            <w:tcW w:w="3463" w:type="dxa"/>
            <w:tcBorders>
              <w:top w:val="single" w:sz="8" w:space="0" w:color="000000"/>
              <w:left w:val="single" w:sz="8" w:space="0" w:color="000000"/>
              <w:bottom w:val="single" w:sz="8" w:space="0" w:color="000000"/>
              <w:right w:val="single" w:sz="8" w:space="0" w:color="000000"/>
            </w:tcBorders>
            <w:tcMar>
              <w:top w:w="10" w:type="dxa"/>
              <w:left w:w="118" w:type="dxa"/>
              <w:bottom w:w="10" w:type="dxa"/>
              <w:right w:w="118" w:type="dxa"/>
            </w:tcMar>
            <w:vAlign w:val="center"/>
            <w:hideMark/>
          </w:tcPr>
          <w:p w:rsidR="00EA30AD" w:rsidRPr="0003338C" w:rsidRDefault="00914373">
            <w:pPr>
              <w:pStyle w:val="MsoNormal0"/>
              <w:spacing w:line="360" w:lineRule="auto"/>
              <w:jc w:val="center"/>
              <w:rPr>
                <w:rFonts w:ascii="宋体" w:eastAsia="宋体" w:hAnsi="宋体"/>
                <w:sz w:val="21"/>
                <w:szCs w:val="21"/>
              </w:rPr>
            </w:pPr>
            <w:r w:rsidRPr="0003338C">
              <w:rPr>
                <w:rFonts w:ascii="宋体" w:eastAsia="宋体" w:hAnsi="宋体" w:cs="宋体"/>
                <w:b/>
                <w:bCs/>
                <w:sz w:val="21"/>
                <w:szCs w:val="21"/>
                <w:lang w:eastAsia="zh-CN"/>
              </w:rPr>
              <w:t>申购金额</w:t>
            </w:r>
            <w:r w:rsidRPr="0003338C">
              <w:rPr>
                <w:rFonts w:ascii="宋体" w:eastAsia="宋体" w:hAnsi="宋体"/>
                <w:b/>
                <w:bCs/>
                <w:sz w:val="21"/>
                <w:szCs w:val="21"/>
                <w:lang w:eastAsia="zh-CN"/>
              </w:rPr>
              <w:t>M</w:t>
            </w:r>
            <w:r w:rsidRPr="0003338C">
              <w:rPr>
                <w:rFonts w:ascii="宋体" w:eastAsia="宋体" w:hAnsi="宋体" w:cs="宋体"/>
                <w:b/>
                <w:bCs/>
                <w:sz w:val="21"/>
                <w:szCs w:val="21"/>
                <w:lang w:eastAsia="zh-CN"/>
              </w:rPr>
              <w:t>（元）</w:t>
            </w:r>
            <w:r w:rsidRPr="0003338C">
              <w:rPr>
                <w:rFonts w:ascii="宋体" w:eastAsia="宋体" w:hAnsi="宋体"/>
                <w:sz w:val="21"/>
                <w:szCs w:val="21"/>
                <w:lang w:eastAsia="zh-CN"/>
              </w:rPr>
              <w:t xml:space="preserve"> </w:t>
            </w:r>
          </w:p>
        </w:tc>
        <w:tc>
          <w:tcPr>
            <w:tcW w:w="2652" w:type="dxa"/>
            <w:tcBorders>
              <w:top w:val="single" w:sz="8" w:space="0" w:color="000000"/>
              <w:bottom w:val="single" w:sz="8" w:space="0" w:color="000000"/>
              <w:right w:val="single" w:sz="8" w:space="0" w:color="000000"/>
            </w:tcBorders>
            <w:tcMar>
              <w:top w:w="10" w:type="dxa"/>
              <w:left w:w="113" w:type="dxa"/>
              <w:bottom w:w="10" w:type="dxa"/>
              <w:right w:w="118" w:type="dxa"/>
            </w:tcMar>
            <w:vAlign w:val="center"/>
            <w:hideMark/>
          </w:tcPr>
          <w:p w:rsidR="00EA30AD" w:rsidRPr="0003338C" w:rsidRDefault="00914373">
            <w:pPr>
              <w:pStyle w:val="MsoNormal0"/>
              <w:spacing w:line="360" w:lineRule="auto"/>
              <w:jc w:val="center"/>
              <w:rPr>
                <w:rFonts w:ascii="宋体" w:eastAsia="宋体" w:hAnsi="宋体"/>
                <w:sz w:val="21"/>
                <w:szCs w:val="21"/>
              </w:rPr>
            </w:pPr>
            <w:r w:rsidRPr="0003338C">
              <w:rPr>
                <w:rFonts w:ascii="宋体" w:eastAsia="宋体" w:hAnsi="宋体" w:cs="宋体"/>
                <w:b/>
                <w:bCs/>
                <w:sz w:val="21"/>
                <w:szCs w:val="21"/>
                <w:lang w:eastAsia="zh-CN"/>
              </w:rPr>
              <w:t>一般申购费率</w:t>
            </w:r>
            <w:r w:rsidRPr="0003338C">
              <w:rPr>
                <w:rFonts w:ascii="宋体" w:eastAsia="宋体" w:hAnsi="宋体"/>
                <w:sz w:val="21"/>
                <w:szCs w:val="21"/>
                <w:lang w:eastAsia="zh-CN"/>
              </w:rPr>
              <w:t xml:space="preserve"> </w:t>
            </w:r>
          </w:p>
        </w:tc>
        <w:tc>
          <w:tcPr>
            <w:tcW w:w="2576" w:type="dxa"/>
            <w:tcBorders>
              <w:top w:val="single" w:sz="8" w:space="0" w:color="000000"/>
              <w:bottom w:val="single" w:sz="8" w:space="0" w:color="000000"/>
              <w:right w:val="single" w:sz="8" w:space="0" w:color="000000"/>
            </w:tcBorders>
            <w:tcMar>
              <w:top w:w="10" w:type="dxa"/>
              <w:left w:w="113" w:type="dxa"/>
              <w:bottom w:w="10" w:type="dxa"/>
              <w:right w:w="118" w:type="dxa"/>
            </w:tcMar>
            <w:vAlign w:val="center"/>
            <w:hideMark/>
          </w:tcPr>
          <w:p w:rsidR="00EA30AD" w:rsidRPr="0003338C" w:rsidRDefault="00914373">
            <w:pPr>
              <w:pStyle w:val="MsoNormal0"/>
              <w:spacing w:line="360" w:lineRule="auto"/>
              <w:jc w:val="center"/>
              <w:rPr>
                <w:rFonts w:ascii="宋体" w:eastAsia="宋体" w:hAnsi="宋体"/>
                <w:sz w:val="21"/>
                <w:szCs w:val="21"/>
              </w:rPr>
            </w:pPr>
            <w:r w:rsidRPr="0003338C">
              <w:rPr>
                <w:rFonts w:ascii="宋体" w:eastAsia="宋体" w:hAnsi="宋体" w:cs="宋体"/>
                <w:b/>
                <w:bCs/>
                <w:sz w:val="21"/>
                <w:szCs w:val="21"/>
                <w:lang w:eastAsia="zh-CN"/>
              </w:rPr>
              <w:t>特定申购费率</w:t>
            </w:r>
            <w:r w:rsidRPr="0003338C">
              <w:rPr>
                <w:rFonts w:ascii="宋体" w:eastAsia="宋体" w:hAnsi="宋体"/>
                <w:sz w:val="21"/>
                <w:szCs w:val="21"/>
                <w:lang w:eastAsia="zh-CN"/>
              </w:rPr>
              <w:t xml:space="preserve"> </w:t>
            </w:r>
          </w:p>
        </w:tc>
      </w:tr>
      <w:tr w:rsidR="00EA30AD" w:rsidRPr="0003338C">
        <w:trPr>
          <w:cantSplit/>
          <w:trHeight w:val="415"/>
        </w:trPr>
        <w:tc>
          <w:tcPr>
            <w:tcW w:w="3463"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EA30AD" w:rsidRPr="0003338C" w:rsidRDefault="00914373">
            <w:pPr>
              <w:pStyle w:val="MsoNormal0"/>
              <w:spacing w:line="360" w:lineRule="auto"/>
              <w:jc w:val="center"/>
              <w:rPr>
                <w:rFonts w:ascii="宋体" w:eastAsia="宋体" w:hAnsi="宋体"/>
                <w:sz w:val="21"/>
                <w:szCs w:val="21"/>
              </w:rPr>
            </w:pPr>
            <w:r w:rsidRPr="0003338C">
              <w:rPr>
                <w:rFonts w:ascii="宋体" w:eastAsia="宋体" w:hAnsi="宋体"/>
                <w:sz w:val="21"/>
                <w:szCs w:val="21"/>
                <w:lang w:eastAsia="zh-CN"/>
              </w:rPr>
              <w:t>M &lt; 100</w:t>
            </w:r>
            <w:r w:rsidRPr="0003338C">
              <w:rPr>
                <w:rFonts w:ascii="宋体" w:eastAsia="宋体" w:hAnsi="宋体" w:cs="宋体"/>
                <w:sz w:val="21"/>
                <w:szCs w:val="21"/>
                <w:lang w:eastAsia="zh-CN"/>
              </w:rPr>
              <w:t>万</w:t>
            </w:r>
            <w:r w:rsidRPr="0003338C">
              <w:rPr>
                <w:rFonts w:ascii="宋体" w:eastAsia="宋体" w:hAnsi="宋体"/>
                <w:sz w:val="21"/>
                <w:szCs w:val="21"/>
                <w:lang w:eastAsia="zh-CN"/>
              </w:rPr>
              <w:t xml:space="preserve"> </w:t>
            </w:r>
          </w:p>
        </w:tc>
        <w:tc>
          <w:tcPr>
            <w:tcW w:w="2652" w:type="dxa"/>
            <w:tcBorders>
              <w:bottom w:val="single" w:sz="8" w:space="0" w:color="000000"/>
              <w:right w:val="single" w:sz="8" w:space="0" w:color="000000"/>
            </w:tcBorders>
            <w:tcMar>
              <w:top w:w="5" w:type="dxa"/>
              <w:left w:w="113" w:type="dxa"/>
              <w:bottom w:w="10" w:type="dxa"/>
              <w:right w:w="118" w:type="dxa"/>
            </w:tcMar>
            <w:vAlign w:val="center"/>
            <w:hideMark/>
          </w:tcPr>
          <w:p w:rsidR="00EA30AD" w:rsidRPr="0003338C" w:rsidRDefault="00914373">
            <w:pPr>
              <w:pStyle w:val="MsoNormal0"/>
              <w:spacing w:line="360" w:lineRule="auto"/>
              <w:jc w:val="center"/>
              <w:rPr>
                <w:rFonts w:ascii="宋体" w:eastAsia="宋体" w:hAnsi="宋体"/>
                <w:sz w:val="21"/>
                <w:szCs w:val="21"/>
              </w:rPr>
            </w:pPr>
            <w:r w:rsidRPr="0003338C">
              <w:rPr>
                <w:rFonts w:ascii="宋体" w:eastAsia="宋体" w:hAnsi="宋体"/>
                <w:sz w:val="21"/>
                <w:szCs w:val="21"/>
                <w:lang w:eastAsia="zh-CN"/>
              </w:rPr>
              <w:t xml:space="preserve">0.80% </w:t>
            </w:r>
          </w:p>
        </w:tc>
        <w:tc>
          <w:tcPr>
            <w:tcW w:w="2576" w:type="dxa"/>
            <w:tcBorders>
              <w:bottom w:val="single" w:sz="8" w:space="0" w:color="000000"/>
              <w:right w:val="single" w:sz="8" w:space="0" w:color="000000"/>
            </w:tcBorders>
            <w:tcMar>
              <w:top w:w="5" w:type="dxa"/>
              <w:left w:w="113" w:type="dxa"/>
              <w:bottom w:w="10" w:type="dxa"/>
              <w:right w:w="118" w:type="dxa"/>
            </w:tcMar>
            <w:vAlign w:val="center"/>
            <w:hideMark/>
          </w:tcPr>
          <w:p w:rsidR="00EA30AD" w:rsidRPr="0003338C" w:rsidRDefault="00914373">
            <w:pPr>
              <w:pStyle w:val="MsoNormal0"/>
              <w:spacing w:line="360" w:lineRule="auto"/>
              <w:jc w:val="center"/>
              <w:rPr>
                <w:rFonts w:ascii="宋体" w:eastAsia="宋体" w:hAnsi="宋体"/>
                <w:sz w:val="21"/>
                <w:szCs w:val="21"/>
              </w:rPr>
            </w:pPr>
            <w:r w:rsidRPr="0003338C">
              <w:rPr>
                <w:rFonts w:ascii="宋体" w:eastAsia="宋体" w:hAnsi="宋体"/>
                <w:sz w:val="21"/>
                <w:szCs w:val="21"/>
                <w:lang w:eastAsia="zh-CN"/>
              </w:rPr>
              <w:t xml:space="preserve">0.32% </w:t>
            </w:r>
          </w:p>
        </w:tc>
      </w:tr>
      <w:tr w:rsidR="00EA30AD" w:rsidRPr="0003338C">
        <w:trPr>
          <w:cantSplit/>
          <w:trHeight w:val="415"/>
        </w:trPr>
        <w:tc>
          <w:tcPr>
            <w:tcW w:w="3463"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EA30AD" w:rsidRPr="0003338C" w:rsidRDefault="00914373">
            <w:pPr>
              <w:pStyle w:val="MsoNormal0"/>
              <w:spacing w:line="360" w:lineRule="auto"/>
              <w:jc w:val="center"/>
              <w:rPr>
                <w:rFonts w:ascii="宋体" w:eastAsia="宋体" w:hAnsi="宋体"/>
                <w:sz w:val="21"/>
                <w:szCs w:val="21"/>
              </w:rPr>
            </w:pPr>
            <w:r w:rsidRPr="0003338C">
              <w:rPr>
                <w:rFonts w:ascii="宋体" w:eastAsia="宋体" w:hAnsi="宋体"/>
                <w:sz w:val="21"/>
                <w:szCs w:val="21"/>
                <w:lang w:eastAsia="zh-CN"/>
              </w:rPr>
              <w:t>100</w:t>
            </w:r>
            <w:r w:rsidRPr="0003338C">
              <w:rPr>
                <w:rFonts w:ascii="宋体" w:eastAsia="宋体" w:hAnsi="宋体" w:cs="宋体"/>
                <w:sz w:val="21"/>
                <w:szCs w:val="21"/>
                <w:lang w:eastAsia="zh-CN"/>
              </w:rPr>
              <w:t>万</w:t>
            </w:r>
            <w:r w:rsidRPr="0003338C">
              <w:rPr>
                <w:rFonts w:ascii="宋体" w:eastAsia="宋体" w:hAnsi="宋体"/>
                <w:sz w:val="21"/>
                <w:szCs w:val="21"/>
                <w:lang w:eastAsia="zh-CN"/>
              </w:rPr>
              <w:t xml:space="preserve"> ≤ M &lt; 500</w:t>
            </w:r>
            <w:r w:rsidRPr="0003338C">
              <w:rPr>
                <w:rFonts w:ascii="宋体" w:eastAsia="宋体" w:hAnsi="宋体" w:cs="宋体"/>
                <w:sz w:val="21"/>
                <w:szCs w:val="21"/>
                <w:lang w:eastAsia="zh-CN"/>
              </w:rPr>
              <w:t>万</w:t>
            </w:r>
            <w:r w:rsidRPr="0003338C">
              <w:rPr>
                <w:rFonts w:ascii="宋体" w:eastAsia="宋体" w:hAnsi="宋体"/>
                <w:sz w:val="21"/>
                <w:szCs w:val="21"/>
                <w:lang w:eastAsia="zh-CN"/>
              </w:rPr>
              <w:t xml:space="preserve"> </w:t>
            </w:r>
          </w:p>
        </w:tc>
        <w:tc>
          <w:tcPr>
            <w:tcW w:w="2652" w:type="dxa"/>
            <w:tcBorders>
              <w:bottom w:val="single" w:sz="8" w:space="0" w:color="000000"/>
              <w:right w:val="single" w:sz="8" w:space="0" w:color="000000"/>
            </w:tcBorders>
            <w:tcMar>
              <w:top w:w="5" w:type="dxa"/>
              <w:left w:w="113" w:type="dxa"/>
              <w:bottom w:w="10" w:type="dxa"/>
              <w:right w:w="118" w:type="dxa"/>
            </w:tcMar>
            <w:vAlign w:val="center"/>
            <w:hideMark/>
          </w:tcPr>
          <w:p w:rsidR="00EA30AD" w:rsidRPr="0003338C" w:rsidRDefault="00914373">
            <w:pPr>
              <w:pStyle w:val="MsoNormal0"/>
              <w:spacing w:line="360" w:lineRule="auto"/>
              <w:jc w:val="center"/>
              <w:rPr>
                <w:rFonts w:ascii="宋体" w:eastAsia="宋体" w:hAnsi="宋体"/>
                <w:sz w:val="21"/>
                <w:szCs w:val="21"/>
              </w:rPr>
            </w:pPr>
            <w:r w:rsidRPr="0003338C">
              <w:rPr>
                <w:rFonts w:ascii="宋体" w:eastAsia="宋体" w:hAnsi="宋体"/>
                <w:sz w:val="21"/>
                <w:szCs w:val="21"/>
                <w:lang w:eastAsia="zh-CN"/>
              </w:rPr>
              <w:t xml:space="preserve">0.40% </w:t>
            </w:r>
          </w:p>
        </w:tc>
        <w:tc>
          <w:tcPr>
            <w:tcW w:w="2576" w:type="dxa"/>
            <w:tcBorders>
              <w:bottom w:val="single" w:sz="8" w:space="0" w:color="000000"/>
              <w:right w:val="single" w:sz="8" w:space="0" w:color="000000"/>
            </w:tcBorders>
            <w:tcMar>
              <w:top w:w="5" w:type="dxa"/>
              <w:left w:w="113" w:type="dxa"/>
              <w:bottom w:w="10" w:type="dxa"/>
              <w:right w:w="118" w:type="dxa"/>
            </w:tcMar>
            <w:vAlign w:val="center"/>
            <w:hideMark/>
          </w:tcPr>
          <w:p w:rsidR="00EA30AD" w:rsidRPr="0003338C" w:rsidRDefault="00914373">
            <w:pPr>
              <w:pStyle w:val="MsoNormal0"/>
              <w:spacing w:line="360" w:lineRule="auto"/>
              <w:jc w:val="center"/>
              <w:rPr>
                <w:rFonts w:ascii="宋体" w:eastAsia="宋体" w:hAnsi="宋体"/>
                <w:sz w:val="21"/>
                <w:szCs w:val="21"/>
              </w:rPr>
            </w:pPr>
            <w:r w:rsidRPr="0003338C">
              <w:rPr>
                <w:rFonts w:ascii="宋体" w:eastAsia="宋体" w:hAnsi="宋体"/>
                <w:sz w:val="21"/>
                <w:szCs w:val="21"/>
                <w:lang w:eastAsia="zh-CN"/>
              </w:rPr>
              <w:t xml:space="preserve">0.12% </w:t>
            </w:r>
          </w:p>
        </w:tc>
      </w:tr>
      <w:tr w:rsidR="00EA30AD" w:rsidRPr="0003338C">
        <w:trPr>
          <w:cantSplit/>
          <w:trHeight w:val="415"/>
        </w:trPr>
        <w:tc>
          <w:tcPr>
            <w:tcW w:w="3463"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EA30AD" w:rsidRPr="0003338C" w:rsidRDefault="00914373">
            <w:pPr>
              <w:pStyle w:val="MsoNormal0"/>
              <w:spacing w:line="360" w:lineRule="auto"/>
              <w:jc w:val="center"/>
              <w:rPr>
                <w:rFonts w:ascii="宋体" w:eastAsia="宋体" w:hAnsi="宋体"/>
                <w:sz w:val="21"/>
                <w:szCs w:val="21"/>
              </w:rPr>
            </w:pPr>
            <w:r w:rsidRPr="0003338C">
              <w:rPr>
                <w:rFonts w:ascii="宋体" w:eastAsia="宋体" w:hAnsi="宋体"/>
                <w:sz w:val="21"/>
                <w:szCs w:val="21"/>
                <w:lang w:eastAsia="zh-CN"/>
              </w:rPr>
              <w:t>M ≥ 500</w:t>
            </w:r>
            <w:r w:rsidRPr="0003338C">
              <w:rPr>
                <w:rFonts w:ascii="宋体" w:eastAsia="宋体" w:hAnsi="宋体" w:cs="宋体"/>
                <w:sz w:val="21"/>
                <w:szCs w:val="21"/>
                <w:lang w:eastAsia="zh-CN"/>
              </w:rPr>
              <w:t>万</w:t>
            </w:r>
            <w:r w:rsidRPr="0003338C">
              <w:rPr>
                <w:rFonts w:ascii="宋体" w:eastAsia="宋体" w:hAnsi="宋体"/>
                <w:sz w:val="21"/>
                <w:szCs w:val="21"/>
                <w:lang w:eastAsia="zh-CN"/>
              </w:rPr>
              <w:t xml:space="preserve"> </w:t>
            </w:r>
          </w:p>
        </w:tc>
        <w:tc>
          <w:tcPr>
            <w:tcW w:w="2652" w:type="dxa"/>
            <w:tcBorders>
              <w:bottom w:val="single" w:sz="8" w:space="0" w:color="000000"/>
              <w:right w:val="single" w:sz="8" w:space="0" w:color="000000"/>
            </w:tcBorders>
            <w:tcMar>
              <w:top w:w="5" w:type="dxa"/>
              <w:left w:w="113" w:type="dxa"/>
              <w:bottom w:w="10" w:type="dxa"/>
              <w:right w:w="118" w:type="dxa"/>
            </w:tcMar>
            <w:vAlign w:val="center"/>
            <w:hideMark/>
          </w:tcPr>
          <w:p w:rsidR="00EA30AD" w:rsidRPr="0003338C" w:rsidRDefault="00914373">
            <w:pPr>
              <w:pStyle w:val="MsoNormal0"/>
              <w:spacing w:line="360" w:lineRule="auto"/>
              <w:jc w:val="center"/>
              <w:rPr>
                <w:rFonts w:ascii="宋体" w:eastAsia="宋体" w:hAnsi="宋体"/>
                <w:sz w:val="21"/>
                <w:szCs w:val="21"/>
              </w:rPr>
            </w:pPr>
            <w:r w:rsidRPr="0003338C">
              <w:rPr>
                <w:rFonts w:ascii="宋体" w:eastAsia="宋体" w:hAnsi="宋体" w:cs="宋体"/>
                <w:sz w:val="21"/>
                <w:szCs w:val="21"/>
                <w:lang w:eastAsia="zh-CN"/>
              </w:rPr>
              <w:t>每笔</w:t>
            </w:r>
            <w:r w:rsidRPr="0003338C">
              <w:rPr>
                <w:rFonts w:ascii="宋体" w:eastAsia="宋体" w:hAnsi="宋体"/>
                <w:sz w:val="21"/>
                <w:szCs w:val="21"/>
                <w:lang w:eastAsia="zh-CN"/>
              </w:rPr>
              <w:t>500</w:t>
            </w:r>
            <w:r w:rsidRPr="0003338C">
              <w:rPr>
                <w:rFonts w:ascii="宋体" w:eastAsia="宋体" w:hAnsi="宋体" w:cs="宋体"/>
                <w:sz w:val="21"/>
                <w:szCs w:val="21"/>
                <w:lang w:eastAsia="zh-CN"/>
              </w:rPr>
              <w:t>元</w:t>
            </w:r>
            <w:r w:rsidRPr="0003338C">
              <w:rPr>
                <w:rFonts w:ascii="宋体" w:eastAsia="宋体" w:hAnsi="宋体"/>
                <w:sz w:val="21"/>
                <w:szCs w:val="21"/>
                <w:lang w:eastAsia="zh-CN"/>
              </w:rPr>
              <w:t xml:space="preserve"> </w:t>
            </w:r>
          </w:p>
        </w:tc>
        <w:tc>
          <w:tcPr>
            <w:tcW w:w="2576" w:type="dxa"/>
            <w:tcBorders>
              <w:bottom w:val="single" w:sz="8" w:space="0" w:color="000000"/>
              <w:right w:val="single" w:sz="8" w:space="0" w:color="000000"/>
            </w:tcBorders>
            <w:tcMar>
              <w:top w:w="5" w:type="dxa"/>
              <w:left w:w="113" w:type="dxa"/>
              <w:bottom w:w="10" w:type="dxa"/>
              <w:right w:w="118" w:type="dxa"/>
            </w:tcMar>
            <w:vAlign w:val="center"/>
            <w:hideMark/>
          </w:tcPr>
          <w:p w:rsidR="00EA30AD" w:rsidRPr="0003338C" w:rsidRDefault="00914373">
            <w:pPr>
              <w:pStyle w:val="MsoNormal0"/>
              <w:spacing w:line="360" w:lineRule="auto"/>
              <w:jc w:val="center"/>
              <w:rPr>
                <w:rFonts w:ascii="宋体" w:eastAsia="宋体" w:hAnsi="宋体"/>
                <w:sz w:val="21"/>
                <w:szCs w:val="21"/>
              </w:rPr>
            </w:pPr>
            <w:r w:rsidRPr="0003338C">
              <w:rPr>
                <w:rFonts w:ascii="宋体" w:eastAsia="宋体" w:hAnsi="宋体" w:cs="宋体"/>
                <w:sz w:val="21"/>
                <w:szCs w:val="21"/>
                <w:lang w:eastAsia="zh-CN"/>
              </w:rPr>
              <w:t>每笔</w:t>
            </w:r>
            <w:r w:rsidRPr="0003338C">
              <w:rPr>
                <w:rFonts w:ascii="宋体" w:eastAsia="宋体" w:hAnsi="宋体"/>
                <w:sz w:val="21"/>
                <w:szCs w:val="21"/>
                <w:lang w:eastAsia="zh-CN"/>
              </w:rPr>
              <w:t>500</w:t>
            </w:r>
            <w:r w:rsidRPr="0003338C">
              <w:rPr>
                <w:rFonts w:ascii="宋体" w:eastAsia="宋体" w:hAnsi="宋体" w:cs="宋体"/>
                <w:sz w:val="21"/>
                <w:szCs w:val="21"/>
                <w:lang w:eastAsia="zh-CN"/>
              </w:rPr>
              <w:t>元</w:t>
            </w:r>
            <w:r w:rsidRPr="0003338C">
              <w:rPr>
                <w:rFonts w:ascii="宋体" w:eastAsia="宋体" w:hAnsi="宋体"/>
                <w:sz w:val="21"/>
                <w:szCs w:val="21"/>
                <w:lang w:eastAsia="zh-CN"/>
              </w:rPr>
              <w:t xml:space="preserve"> </w:t>
            </w:r>
          </w:p>
        </w:tc>
      </w:tr>
    </w:tbl>
    <w:p w:rsidR="00EA30AD" w:rsidRDefault="00914373">
      <w:pPr>
        <w:spacing w:before="240" w:line="360" w:lineRule="auto"/>
        <w:ind w:firstLine="420"/>
        <w:rPr>
          <w:sz w:val="21"/>
          <w:szCs w:val="21"/>
          <w:lang w:eastAsia="zh-CN"/>
        </w:rPr>
      </w:pPr>
      <w:bookmarkStart w:id="0" w:name="t_2_3_2_q_2685_a1_fm1"/>
      <w:r>
        <w:rPr>
          <w:rFonts w:ascii="宋体" w:eastAsia="宋体" w:hAnsi="宋体" w:cs="宋体"/>
          <w:sz w:val="21"/>
          <w:szCs w:val="21"/>
          <w:lang w:eastAsia="zh-CN"/>
        </w:rPr>
        <w:t>注：</w:t>
      </w:r>
      <w:bookmarkEnd w:id="0"/>
      <w:r>
        <w:rPr>
          <w:rFonts w:ascii="宋体" w:eastAsia="宋体" w:hAnsi="宋体" w:cs="宋体"/>
          <w:sz w:val="21"/>
          <w:szCs w:val="21"/>
          <w:lang w:eastAsia="zh-CN"/>
        </w:rPr>
        <w:t>1、本基金的申购费用应在投资人申购A类基金份额时收取。投资人在一天之内如果有多笔申购，适用费率按单笔分别计算。</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2、申购费用由申购A类基金份额的投资人承担，不列入基金财产，主要用于本基金的市场推广、销售、登记等各项费用。</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3、本基金A类基金份额对通过直销中心申购的养老金客户与除此之外的其他投资人实施差别的申购费率。通过基金管理人的直销中心申购本基金A类基金份额的养老金客户适用特定申购费率，其他投资人申购本基金A类基金份额的适用一般申购费率。养老金客户指基本养老基金与依法成立的养老计划筹集的资金及其投资运营收益形成的补充养老基金等，包括但不限于全国社会保障基金、可以投资基金的地方社会保险基金、企业年金单一计划以及集合计划、商业养老保险组合。如将来出现经养老基金监管部门认可的新的养老基金类型，基金管理人可在招募说明书更新时或发布临时公告将其纳入养老金客户范围。非养老金客户指除养老金客户外的其他投资人。</w:t>
      </w:r>
    </w:p>
    <w:p w:rsidR="00EA30AD" w:rsidRDefault="00914373">
      <w:pPr>
        <w:pStyle w:val="2"/>
        <w:keepLines/>
        <w:widowControl w:val="0"/>
        <w:spacing w:before="156" w:after="156"/>
        <w:jc w:val="both"/>
        <w:rPr>
          <w:rFonts w:ascii="Times New Roman" w:hAnsi="Times New Roman" w:cs="Times New Roman"/>
          <w:lang w:eastAsia="zh-CN"/>
        </w:rPr>
      </w:pPr>
      <w:r>
        <w:rPr>
          <w:rFonts w:ascii="宋体" w:eastAsia="宋体" w:hAnsi="宋体" w:cs="宋体"/>
          <w:i w:val="0"/>
          <w:iCs w:val="0"/>
          <w:sz w:val="24"/>
          <w:szCs w:val="24"/>
          <w:lang w:eastAsia="zh-CN"/>
        </w:rPr>
        <w:t>4赎回业务</w:t>
      </w:r>
    </w:p>
    <w:p w:rsidR="00EA30AD" w:rsidRDefault="00914373">
      <w:pPr>
        <w:widowControl w:val="0"/>
        <w:spacing w:before="156" w:after="156"/>
        <w:rPr>
          <w:lang w:eastAsia="zh-CN"/>
        </w:rPr>
      </w:pPr>
      <w:r>
        <w:rPr>
          <w:rFonts w:ascii="宋体" w:eastAsia="宋体" w:hAnsi="宋体" w:cs="宋体"/>
          <w:b/>
          <w:bCs/>
          <w:lang w:eastAsia="zh-CN"/>
        </w:rPr>
        <w:t>4.1赎回份额限制</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投资人赎回本基金份额时，可申请将其持有的部分或全部基金份额赎回；账户最低余额为0.01份基金份额，若某笔赎回将导致投资人在销售机构托管的单只基金份额余额不足0.01份时，该笔赎回业务应包括账户内全部基金份额，否则，剩余部分的基金份额将被强制赎回。</w:t>
      </w:r>
    </w:p>
    <w:p w:rsidR="00EA30AD" w:rsidRDefault="00914373">
      <w:pPr>
        <w:widowControl w:val="0"/>
        <w:spacing w:before="156" w:after="156"/>
        <w:jc w:val="both"/>
        <w:rPr>
          <w:lang w:eastAsia="zh-CN"/>
        </w:rPr>
      </w:pPr>
      <w:r>
        <w:rPr>
          <w:rFonts w:ascii="宋体" w:eastAsia="宋体" w:hAnsi="宋体" w:cs="宋体"/>
          <w:b/>
          <w:bCs/>
          <w:lang w:eastAsia="zh-CN"/>
        </w:rPr>
        <w:t>4.2赎回费率</w:t>
      </w:r>
    </w:p>
    <w:p w:rsidR="00EA30AD" w:rsidRDefault="00914373">
      <w:pPr>
        <w:pStyle w:val="a3"/>
        <w:widowControl w:val="0"/>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 xml:space="preserve">本基金A 类基金份额的赎回费率如下表所示： </w:t>
      </w:r>
    </w:p>
    <w:tbl>
      <w:tblPr>
        <w:tblStyle w:val="MsoNormalTable0"/>
        <w:tblW w:w="6625" w:type="dxa"/>
        <w:tblInd w:w="761"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5E0"/>
      </w:tblPr>
      <w:tblGrid>
        <w:gridCol w:w="3378"/>
        <w:gridCol w:w="3247"/>
      </w:tblGrid>
      <w:tr w:rsidR="00EA30AD">
        <w:trPr>
          <w:trHeight w:val="461"/>
        </w:trPr>
        <w:tc>
          <w:tcPr>
            <w:tcW w:w="3614" w:type="dxa"/>
            <w:tcBorders>
              <w:top w:val="single" w:sz="8" w:space="0" w:color="000000"/>
              <w:left w:val="single" w:sz="8" w:space="0" w:color="000000"/>
              <w:bottom w:val="single" w:sz="8" w:space="0" w:color="000000"/>
              <w:right w:val="single" w:sz="8" w:space="0" w:color="000000"/>
            </w:tcBorders>
            <w:tcMar>
              <w:top w:w="10" w:type="dxa"/>
              <w:left w:w="118" w:type="dxa"/>
              <w:bottom w:w="10" w:type="dxa"/>
              <w:right w:w="118" w:type="dxa"/>
            </w:tcMar>
            <w:vAlign w:val="center"/>
            <w:hideMark/>
          </w:tcPr>
          <w:p w:rsidR="00EA30AD" w:rsidRDefault="00914373">
            <w:pPr>
              <w:pStyle w:val="MsoNormal0"/>
              <w:widowControl w:val="0"/>
              <w:spacing w:line="360" w:lineRule="auto"/>
              <w:jc w:val="center"/>
              <w:rPr>
                <w:rFonts w:ascii="宋体" w:eastAsia="宋体" w:hAnsi="宋体" w:cs="宋体"/>
                <w:sz w:val="21"/>
                <w:szCs w:val="21"/>
              </w:rPr>
            </w:pPr>
            <w:r>
              <w:rPr>
                <w:rFonts w:ascii="宋体" w:eastAsia="宋体" w:hAnsi="宋体" w:cs="宋体"/>
                <w:b/>
                <w:bCs/>
                <w:sz w:val="21"/>
                <w:szCs w:val="21"/>
                <w:lang w:eastAsia="zh-CN"/>
              </w:rPr>
              <w:t>持有期限（Y）</w:t>
            </w:r>
            <w:r>
              <w:rPr>
                <w:rFonts w:ascii="宋体" w:eastAsia="宋体" w:hAnsi="宋体" w:cs="宋体"/>
                <w:sz w:val="21"/>
                <w:szCs w:val="21"/>
                <w:lang w:eastAsia="zh-CN"/>
              </w:rPr>
              <w:t xml:space="preserve"> </w:t>
            </w:r>
          </w:p>
        </w:tc>
        <w:tc>
          <w:tcPr>
            <w:tcW w:w="3482" w:type="dxa"/>
            <w:tcBorders>
              <w:top w:val="single" w:sz="8" w:space="0" w:color="000000"/>
              <w:bottom w:val="single" w:sz="8" w:space="0" w:color="000000"/>
              <w:right w:val="single" w:sz="8" w:space="0" w:color="000000"/>
            </w:tcBorders>
            <w:tcMar>
              <w:top w:w="10" w:type="dxa"/>
              <w:left w:w="113" w:type="dxa"/>
              <w:bottom w:w="10" w:type="dxa"/>
              <w:right w:w="118" w:type="dxa"/>
            </w:tcMar>
            <w:vAlign w:val="center"/>
            <w:hideMark/>
          </w:tcPr>
          <w:p w:rsidR="00EA30AD" w:rsidRDefault="00914373">
            <w:pPr>
              <w:pStyle w:val="MsoNormal0"/>
              <w:widowControl w:val="0"/>
              <w:spacing w:line="360" w:lineRule="auto"/>
              <w:jc w:val="center"/>
              <w:rPr>
                <w:rFonts w:ascii="宋体" w:eastAsia="宋体" w:hAnsi="宋体" w:cs="宋体"/>
                <w:sz w:val="21"/>
                <w:szCs w:val="21"/>
              </w:rPr>
            </w:pPr>
            <w:r>
              <w:rPr>
                <w:rFonts w:ascii="宋体" w:eastAsia="宋体" w:hAnsi="宋体" w:cs="宋体"/>
                <w:b/>
                <w:bCs/>
                <w:sz w:val="21"/>
                <w:szCs w:val="21"/>
                <w:lang w:eastAsia="zh-CN"/>
              </w:rPr>
              <w:t>赎回费率</w:t>
            </w:r>
            <w:r>
              <w:rPr>
                <w:rFonts w:ascii="宋体" w:eastAsia="宋体" w:hAnsi="宋体" w:cs="宋体"/>
                <w:sz w:val="21"/>
                <w:szCs w:val="21"/>
                <w:lang w:eastAsia="zh-CN"/>
              </w:rPr>
              <w:t xml:space="preserve"> </w:t>
            </w:r>
          </w:p>
        </w:tc>
      </w:tr>
      <w:tr w:rsidR="00EA30AD">
        <w:trPr>
          <w:trHeight w:val="461"/>
        </w:trPr>
        <w:tc>
          <w:tcPr>
            <w:tcW w:w="3614"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rsidR="00EA30AD" w:rsidRDefault="00914373">
            <w:pPr>
              <w:pStyle w:val="MsoNormal0"/>
              <w:widowControl w:val="0"/>
              <w:spacing w:line="360" w:lineRule="auto"/>
              <w:jc w:val="center"/>
              <w:rPr>
                <w:rFonts w:ascii="宋体" w:eastAsia="宋体" w:hAnsi="宋体" w:cs="宋体"/>
                <w:sz w:val="21"/>
                <w:szCs w:val="21"/>
              </w:rPr>
            </w:pPr>
            <w:r>
              <w:rPr>
                <w:rFonts w:ascii="宋体" w:eastAsia="宋体" w:hAnsi="宋体" w:cs="宋体"/>
                <w:sz w:val="21"/>
                <w:szCs w:val="21"/>
                <w:lang w:eastAsia="zh-CN"/>
              </w:rPr>
              <w:t xml:space="preserve">Y＜7日 </w:t>
            </w:r>
          </w:p>
        </w:tc>
        <w:tc>
          <w:tcPr>
            <w:tcW w:w="3482" w:type="dxa"/>
            <w:tcBorders>
              <w:bottom w:val="single" w:sz="8" w:space="0" w:color="000000"/>
              <w:right w:val="single" w:sz="8" w:space="0" w:color="000000"/>
            </w:tcBorders>
            <w:tcMar>
              <w:top w:w="5" w:type="dxa"/>
              <w:left w:w="113" w:type="dxa"/>
              <w:bottom w:w="10" w:type="dxa"/>
              <w:right w:w="118" w:type="dxa"/>
            </w:tcMar>
            <w:vAlign w:val="center"/>
            <w:hideMark/>
          </w:tcPr>
          <w:p w:rsidR="00EA30AD" w:rsidRDefault="00914373">
            <w:pPr>
              <w:pStyle w:val="MsoNormal0"/>
              <w:widowControl w:val="0"/>
              <w:spacing w:line="360" w:lineRule="auto"/>
              <w:jc w:val="center"/>
              <w:rPr>
                <w:rFonts w:ascii="宋体" w:eastAsia="宋体" w:hAnsi="宋体" w:cs="宋体"/>
                <w:sz w:val="21"/>
                <w:szCs w:val="21"/>
              </w:rPr>
            </w:pPr>
            <w:r>
              <w:rPr>
                <w:rFonts w:ascii="宋体" w:eastAsia="宋体" w:hAnsi="宋体" w:cs="宋体"/>
                <w:sz w:val="21"/>
                <w:szCs w:val="21"/>
                <w:lang w:eastAsia="zh-CN"/>
              </w:rPr>
              <w:t xml:space="preserve">1.50% </w:t>
            </w:r>
          </w:p>
        </w:tc>
      </w:tr>
      <w:tr w:rsidR="00EA30AD">
        <w:trPr>
          <w:trHeight w:val="461"/>
        </w:trPr>
        <w:tc>
          <w:tcPr>
            <w:tcW w:w="3614"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rsidR="00EA30AD" w:rsidRDefault="00914373">
            <w:pPr>
              <w:pStyle w:val="MsoNormal0"/>
              <w:widowControl w:val="0"/>
              <w:spacing w:line="360" w:lineRule="auto"/>
              <w:jc w:val="center"/>
              <w:rPr>
                <w:rFonts w:ascii="宋体" w:eastAsia="宋体" w:hAnsi="宋体" w:cs="宋体"/>
                <w:sz w:val="21"/>
                <w:szCs w:val="21"/>
              </w:rPr>
            </w:pPr>
            <w:r>
              <w:rPr>
                <w:rFonts w:ascii="宋体" w:eastAsia="宋体" w:hAnsi="宋体" w:cs="宋体"/>
                <w:sz w:val="21"/>
                <w:szCs w:val="21"/>
                <w:lang w:eastAsia="zh-CN"/>
              </w:rPr>
              <w:t xml:space="preserve">7日≤Y＜30日 </w:t>
            </w:r>
          </w:p>
        </w:tc>
        <w:tc>
          <w:tcPr>
            <w:tcW w:w="3482" w:type="dxa"/>
            <w:tcBorders>
              <w:bottom w:val="single" w:sz="8" w:space="0" w:color="000000"/>
              <w:right w:val="single" w:sz="8" w:space="0" w:color="000000"/>
            </w:tcBorders>
            <w:tcMar>
              <w:top w:w="5" w:type="dxa"/>
              <w:left w:w="113" w:type="dxa"/>
              <w:bottom w:w="10" w:type="dxa"/>
              <w:right w:w="118" w:type="dxa"/>
            </w:tcMar>
            <w:vAlign w:val="center"/>
            <w:hideMark/>
          </w:tcPr>
          <w:p w:rsidR="00EA30AD" w:rsidRDefault="00914373">
            <w:pPr>
              <w:pStyle w:val="MsoNormal0"/>
              <w:widowControl w:val="0"/>
              <w:spacing w:line="360" w:lineRule="auto"/>
              <w:jc w:val="center"/>
              <w:rPr>
                <w:rFonts w:ascii="宋体" w:eastAsia="宋体" w:hAnsi="宋体" w:cs="宋体"/>
                <w:sz w:val="21"/>
                <w:szCs w:val="21"/>
              </w:rPr>
            </w:pPr>
            <w:r>
              <w:rPr>
                <w:rFonts w:ascii="宋体" w:eastAsia="宋体" w:hAnsi="宋体" w:cs="宋体"/>
                <w:sz w:val="21"/>
                <w:szCs w:val="21"/>
                <w:lang w:eastAsia="zh-CN"/>
              </w:rPr>
              <w:t xml:space="preserve">0.75% </w:t>
            </w:r>
          </w:p>
        </w:tc>
      </w:tr>
      <w:tr w:rsidR="00EA30AD">
        <w:trPr>
          <w:trHeight w:val="461"/>
        </w:trPr>
        <w:tc>
          <w:tcPr>
            <w:tcW w:w="3614"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rsidR="00EA30AD" w:rsidRDefault="00914373">
            <w:pPr>
              <w:pStyle w:val="MsoNormal0"/>
              <w:widowControl w:val="0"/>
              <w:spacing w:line="360" w:lineRule="auto"/>
              <w:jc w:val="center"/>
              <w:rPr>
                <w:rFonts w:ascii="宋体" w:eastAsia="宋体" w:hAnsi="宋体" w:cs="宋体"/>
                <w:sz w:val="21"/>
                <w:szCs w:val="21"/>
              </w:rPr>
            </w:pPr>
            <w:r>
              <w:rPr>
                <w:rFonts w:ascii="宋体" w:eastAsia="宋体" w:hAnsi="宋体" w:cs="宋体"/>
                <w:sz w:val="21"/>
                <w:szCs w:val="21"/>
                <w:lang w:eastAsia="zh-CN"/>
              </w:rPr>
              <w:t xml:space="preserve">30日≤Y＜180日 </w:t>
            </w:r>
          </w:p>
        </w:tc>
        <w:tc>
          <w:tcPr>
            <w:tcW w:w="3482" w:type="dxa"/>
            <w:tcBorders>
              <w:bottom w:val="single" w:sz="8" w:space="0" w:color="000000"/>
              <w:right w:val="single" w:sz="8" w:space="0" w:color="000000"/>
            </w:tcBorders>
            <w:tcMar>
              <w:top w:w="5" w:type="dxa"/>
              <w:left w:w="113" w:type="dxa"/>
              <w:bottom w:w="10" w:type="dxa"/>
              <w:right w:w="118" w:type="dxa"/>
            </w:tcMar>
            <w:vAlign w:val="center"/>
            <w:hideMark/>
          </w:tcPr>
          <w:p w:rsidR="00EA30AD" w:rsidRDefault="00914373">
            <w:pPr>
              <w:pStyle w:val="MsoNormal0"/>
              <w:widowControl w:val="0"/>
              <w:spacing w:line="360" w:lineRule="auto"/>
              <w:jc w:val="center"/>
              <w:rPr>
                <w:rFonts w:ascii="宋体" w:eastAsia="宋体" w:hAnsi="宋体" w:cs="宋体"/>
                <w:sz w:val="21"/>
                <w:szCs w:val="21"/>
              </w:rPr>
            </w:pPr>
            <w:r>
              <w:rPr>
                <w:rFonts w:ascii="宋体" w:eastAsia="宋体" w:hAnsi="宋体" w:cs="宋体"/>
                <w:sz w:val="21"/>
                <w:szCs w:val="21"/>
                <w:lang w:eastAsia="zh-CN"/>
              </w:rPr>
              <w:t xml:space="preserve">0.25% </w:t>
            </w:r>
          </w:p>
        </w:tc>
      </w:tr>
      <w:tr w:rsidR="00EA30AD">
        <w:trPr>
          <w:trHeight w:val="461"/>
        </w:trPr>
        <w:tc>
          <w:tcPr>
            <w:tcW w:w="3614"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EA30AD" w:rsidRDefault="00914373">
            <w:pPr>
              <w:pStyle w:val="MsoNormal0"/>
              <w:widowControl w:val="0"/>
              <w:spacing w:line="360" w:lineRule="auto"/>
              <w:jc w:val="center"/>
              <w:rPr>
                <w:rFonts w:ascii="宋体" w:eastAsia="宋体" w:hAnsi="宋体" w:cs="宋体"/>
                <w:sz w:val="21"/>
                <w:szCs w:val="21"/>
              </w:rPr>
            </w:pPr>
            <w:r>
              <w:rPr>
                <w:rFonts w:ascii="宋体" w:eastAsia="宋体" w:hAnsi="宋体" w:cs="宋体"/>
                <w:sz w:val="21"/>
                <w:szCs w:val="21"/>
                <w:lang w:eastAsia="zh-CN"/>
              </w:rPr>
              <w:t xml:space="preserve">Y≥180日 </w:t>
            </w:r>
          </w:p>
        </w:tc>
        <w:tc>
          <w:tcPr>
            <w:tcW w:w="3482" w:type="dxa"/>
            <w:tcBorders>
              <w:bottom w:val="single" w:sz="8" w:space="0" w:color="000000"/>
              <w:right w:val="single" w:sz="8" w:space="0" w:color="000000"/>
            </w:tcBorders>
            <w:tcMar>
              <w:top w:w="5" w:type="dxa"/>
              <w:left w:w="113" w:type="dxa"/>
              <w:bottom w:w="10" w:type="dxa"/>
              <w:right w:w="118" w:type="dxa"/>
            </w:tcMar>
            <w:vAlign w:val="center"/>
            <w:hideMark/>
          </w:tcPr>
          <w:p w:rsidR="00EA30AD" w:rsidRDefault="00914373">
            <w:pPr>
              <w:pStyle w:val="MsoNormal0"/>
              <w:widowControl w:val="0"/>
              <w:spacing w:line="360" w:lineRule="auto"/>
              <w:jc w:val="center"/>
              <w:rPr>
                <w:rFonts w:ascii="宋体" w:eastAsia="宋体" w:hAnsi="宋体" w:cs="宋体"/>
                <w:sz w:val="21"/>
                <w:szCs w:val="21"/>
              </w:rPr>
            </w:pPr>
            <w:r>
              <w:rPr>
                <w:rFonts w:ascii="宋体" w:eastAsia="宋体" w:hAnsi="宋体" w:cs="宋体"/>
                <w:sz w:val="21"/>
                <w:szCs w:val="21"/>
                <w:lang w:eastAsia="zh-CN"/>
              </w:rPr>
              <w:t xml:space="preserve">0 </w:t>
            </w:r>
          </w:p>
        </w:tc>
      </w:tr>
    </w:tbl>
    <w:p w:rsidR="00EA30AD" w:rsidRDefault="00914373">
      <w:pPr>
        <w:pStyle w:val="MsoNormal0"/>
        <w:widowControl w:val="0"/>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 xml:space="preserve">本基金C类基金份额赎回费率如下表所示： </w:t>
      </w:r>
    </w:p>
    <w:tbl>
      <w:tblPr>
        <w:tblStyle w:val="MsoNormalTable0"/>
        <w:tblW w:w="6625" w:type="dxa"/>
        <w:tblInd w:w="761"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5E0"/>
      </w:tblPr>
      <w:tblGrid>
        <w:gridCol w:w="3373"/>
        <w:gridCol w:w="3252"/>
      </w:tblGrid>
      <w:tr w:rsidR="00EA30AD">
        <w:trPr>
          <w:trHeight w:val="461"/>
        </w:trPr>
        <w:tc>
          <w:tcPr>
            <w:tcW w:w="3614" w:type="dxa"/>
            <w:tcBorders>
              <w:top w:val="single" w:sz="8" w:space="0" w:color="000000"/>
              <w:left w:val="single" w:sz="8" w:space="0" w:color="000000"/>
              <w:bottom w:val="single" w:sz="8" w:space="0" w:color="000000"/>
              <w:right w:val="single" w:sz="8" w:space="0" w:color="000000"/>
            </w:tcBorders>
            <w:tcMar>
              <w:top w:w="10" w:type="dxa"/>
              <w:left w:w="118" w:type="dxa"/>
              <w:bottom w:w="10" w:type="dxa"/>
              <w:right w:w="118" w:type="dxa"/>
            </w:tcMar>
            <w:vAlign w:val="center"/>
            <w:hideMark/>
          </w:tcPr>
          <w:p w:rsidR="00EA30AD" w:rsidRDefault="00914373">
            <w:pPr>
              <w:pStyle w:val="MsoNormal0"/>
              <w:widowControl w:val="0"/>
              <w:spacing w:line="360" w:lineRule="auto"/>
              <w:jc w:val="center"/>
              <w:rPr>
                <w:rFonts w:ascii="宋体" w:eastAsia="宋体" w:hAnsi="宋体" w:cs="宋体"/>
                <w:sz w:val="21"/>
                <w:szCs w:val="21"/>
              </w:rPr>
            </w:pPr>
            <w:r>
              <w:rPr>
                <w:rFonts w:ascii="宋体" w:eastAsia="宋体" w:hAnsi="宋体" w:cs="宋体"/>
                <w:b/>
                <w:bCs/>
                <w:sz w:val="21"/>
                <w:szCs w:val="21"/>
                <w:lang w:eastAsia="zh-CN"/>
              </w:rPr>
              <w:t>持有期限（Y）</w:t>
            </w:r>
            <w:r>
              <w:rPr>
                <w:rFonts w:ascii="宋体" w:eastAsia="宋体" w:hAnsi="宋体" w:cs="宋体"/>
                <w:sz w:val="21"/>
                <w:szCs w:val="21"/>
                <w:lang w:eastAsia="zh-CN"/>
              </w:rPr>
              <w:t xml:space="preserve"> </w:t>
            </w:r>
          </w:p>
        </w:tc>
        <w:tc>
          <w:tcPr>
            <w:tcW w:w="3482" w:type="dxa"/>
            <w:tcBorders>
              <w:top w:val="single" w:sz="8" w:space="0" w:color="000000"/>
              <w:bottom w:val="single" w:sz="8" w:space="0" w:color="000000"/>
              <w:right w:val="single" w:sz="8" w:space="0" w:color="000000"/>
            </w:tcBorders>
            <w:tcMar>
              <w:top w:w="10" w:type="dxa"/>
              <w:left w:w="113" w:type="dxa"/>
              <w:bottom w:w="10" w:type="dxa"/>
              <w:right w:w="118" w:type="dxa"/>
            </w:tcMar>
            <w:vAlign w:val="center"/>
            <w:hideMark/>
          </w:tcPr>
          <w:p w:rsidR="00EA30AD" w:rsidRDefault="00914373">
            <w:pPr>
              <w:pStyle w:val="MsoNormal0"/>
              <w:widowControl w:val="0"/>
              <w:spacing w:line="360" w:lineRule="auto"/>
              <w:jc w:val="center"/>
              <w:rPr>
                <w:rFonts w:ascii="宋体" w:eastAsia="宋体" w:hAnsi="宋体" w:cs="宋体"/>
                <w:sz w:val="21"/>
                <w:szCs w:val="21"/>
              </w:rPr>
            </w:pPr>
            <w:r>
              <w:rPr>
                <w:rFonts w:ascii="宋体" w:eastAsia="宋体" w:hAnsi="宋体" w:cs="宋体"/>
                <w:b/>
                <w:bCs/>
                <w:sz w:val="21"/>
                <w:szCs w:val="21"/>
                <w:lang w:eastAsia="zh-CN"/>
              </w:rPr>
              <w:t>赎回费率</w:t>
            </w:r>
            <w:r>
              <w:rPr>
                <w:rFonts w:ascii="宋体" w:eastAsia="宋体" w:hAnsi="宋体" w:cs="宋体"/>
                <w:sz w:val="21"/>
                <w:szCs w:val="21"/>
                <w:lang w:eastAsia="zh-CN"/>
              </w:rPr>
              <w:t xml:space="preserve"> </w:t>
            </w:r>
          </w:p>
        </w:tc>
      </w:tr>
      <w:tr w:rsidR="00EA30AD">
        <w:trPr>
          <w:trHeight w:val="461"/>
        </w:trPr>
        <w:tc>
          <w:tcPr>
            <w:tcW w:w="3614"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EA30AD" w:rsidRDefault="00914373">
            <w:pPr>
              <w:pStyle w:val="MsoNormal0"/>
              <w:widowControl w:val="0"/>
              <w:spacing w:line="360" w:lineRule="auto"/>
              <w:jc w:val="center"/>
              <w:rPr>
                <w:rFonts w:ascii="宋体" w:eastAsia="宋体" w:hAnsi="宋体" w:cs="宋体"/>
                <w:sz w:val="21"/>
                <w:szCs w:val="21"/>
              </w:rPr>
            </w:pPr>
            <w:r>
              <w:rPr>
                <w:rFonts w:ascii="宋体" w:eastAsia="宋体" w:hAnsi="宋体" w:cs="宋体"/>
                <w:sz w:val="21"/>
                <w:szCs w:val="21"/>
                <w:lang w:eastAsia="zh-CN"/>
              </w:rPr>
              <w:t xml:space="preserve">Y＜7日 </w:t>
            </w:r>
          </w:p>
        </w:tc>
        <w:tc>
          <w:tcPr>
            <w:tcW w:w="3482" w:type="dxa"/>
            <w:tcBorders>
              <w:bottom w:val="single" w:sz="8" w:space="0" w:color="000000"/>
              <w:right w:val="single" w:sz="8" w:space="0" w:color="000000"/>
            </w:tcBorders>
            <w:tcMar>
              <w:top w:w="5" w:type="dxa"/>
              <w:left w:w="113" w:type="dxa"/>
              <w:bottom w:w="10" w:type="dxa"/>
              <w:right w:w="118" w:type="dxa"/>
            </w:tcMar>
            <w:vAlign w:val="center"/>
            <w:hideMark/>
          </w:tcPr>
          <w:p w:rsidR="00EA30AD" w:rsidRDefault="00914373">
            <w:pPr>
              <w:pStyle w:val="MsoNormal0"/>
              <w:widowControl w:val="0"/>
              <w:spacing w:line="360" w:lineRule="auto"/>
              <w:jc w:val="center"/>
              <w:rPr>
                <w:rFonts w:ascii="宋体" w:eastAsia="宋体" w:hAnsi="宋体" w:cs="宋体"/>
                <w:sz w:val="21"/>
                <w:szCs w:val="21"/>
              </w:rPr>
            </w:pPr>
            <w:r>
              <w:rPr>
                <w:rFonts w:ascii="宋体" w:eastAsia="宋体" w:hAnsi="宋体" w:cs="宋体"/>
                <w:sz w:val="21"/>
                <w:szCs w:val="21"/>
                <w:lang w:eastAsia="zh-CN"/>
              </w:rPr>
              <w:t xml:space="preserve">1.50% </w:t>
            </w:r>
          </w:p>
        </w:tc>
      </w:tr>
      <w:tr w:rsidR="00EA30AD">
        <w:trPr>
          <w:trHeight w:val="461"/>
        </w:trPr>
        <w:tc>
          <w:tcPr>
            <w:tcW w:w="3614"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EA30AD" w:rsidRDefault="00914373">
            <w:pPr>
              <w:pStyle w:val="MsoNormal0"/>
              <w:widowControl w:val="0"/>
              <w:spacing w:line="360" w:lineRule="auto"/>
              <w:jc w:val="center"/>
              <w:rPr>
                <w:rFonts w:ascii="宋体" w:eastAsia="宋体" w:hAnsi="宋体" w:cs="宋体"/>
                <w:sz w:val="21"/>
                <w:szCs w:val="21"/>
              </w:rPr>
            </w:pPr>
            <w:r>
              <w:rPr>
                <w:rFonts w:ascii="宋体" w:eastAsia="宋体" w:hAnsi="宋体" w:cs="宋体"/>
                <w:sz w:val="21"/>
                <w:szCs w:val="21"/>
                <w:lang w:eastAsia="zh-CN"/>
              </w:rPr>
              <w:t xml:space="preserve">Y≥7日 </w:t>
            </w:r>
          </w:p>
        </w:tc>
        <w:tc>
          <w:tcPr>
            <w:tcW w:w="3482" w:type="dxa"/>
            <w:tcBorders>
              <w:bottom w:val="single" w:sz="8" w:space="0" w:color="000000"/>
              <w:right w:val="single" w:sz="8" w:space="0" w:color="000000"/>
            </w:tcBorders>
            <w:tcMar>
              <w:top w:w="5" w:type="dxa"/>
              <w:left w:w="113" w:type="dxa"/>
              <w:bottom w:w="10" w:type="dxa"/>
              <w:right w:w="118" w:type="dxa"/>
            </w:tcMar>
            <w:vAlign w:val="center"/>
            <w:hideMark/>
          </w:tcPr>
          <w:p w:rsidR="00EA30AD" w:rsidRDefault="00914373">
            <w:pPr>
              <w:pStyle w:val="MsoNormal0"/>
              <w:widowControl w:val="0"/>
              <w:spacing w:line="360" w:lineRule="auto"/>
              <w:jc w:val="center"/>
              <w:rPr>
                <w:rFonts w:ascii="宋体" w:eastAsia="宋体" w:hAnsi="宋体" w:cs="宋体"/>
                <w:sz w:val="21"/>
                <w:szCs w:val="21"/>
              </w:rPr>
            </w:pPr>
            <w:r>
              <w:rPr>
                <w:rFonts w:ascii="宋体" w:eastAsia="宋体" w:hAnsi="宋体" w:cs="宋体"/>
                <w:sz w:val="21"/>
                <w:szCs w:val="21"/>
                <w:lang w:eastAsia="zh-CN"/>
              </w:rPr>
              <w:t xml:space="preserve">0 </w:t>
            </w:r>
          </w:p>
        </w:tc>
      </w:tr>
    </w:tbl>
    <w:p w:rsidR="00EA30AD" w:rsidRDefault="00914373">
      <w:pPr>
        <w:pStyle w:val="MsoNormal0"/>
        <w:widowControl w:val="0"/>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 xml:space="preserve">赎回费用由赎回基金份额的基金份额持有人承担，在基金份额持有人赎回基金份额时收取。本基金对持续持有期少于7日的投资者收取的赎回费将全额计入基金财产；对持续持有期不少于7日的投资者，将赎回费总额的25%计入基金财产。上述未纳入基金财产的赎回费用于支付登记费和其他必要的手续费。 </w:t>
      </w:r>
    </w:p>
    <w:p w:rsidR="00EA30AD" w:rsidRDefault="00914373">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5转换业务</w:t>
      </w:r>
    </w:p>
    <w:p w:rsidR="00EA30AD" w:rsidRDefault="00914373">
      <w:pPr>
        <w:widowControl w:val="0"/>
        <w:spacing w:before="156" w:after="156"/>
        <w:rPr>
          <w:lang w:eastAsia="zh-CN"/>
        </w:rPr>
      </w:pPr>
      <w:r>
        <w:rPr>
          <w:rFonts w:ascii="宋体" w:eastAsia="宋体" w:hAnsi="宋体" w:cs="宋体"/>
          <w:b/>
          <w:bCs/>
          <w:lang w:eastAsia="zh-CN"/>
        </w:rPr>
        <w:t>5.1转换费率</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本基金的转换按照转出基金的赎回费用加上转出与转入基金申购费用补差的标准收取费用。具体转换费用组成如下：</w:t>
      </w:r>
    </w:p>
    <w:p w:rsidR="00EA30AD" w:rsidRDefault="00914373">
      <w:pPr>
        <w:spacing w:line="360" w:lineRule="auto"/>
        <w:ind w:firstLine="420"/>
        <w:rPr>
          <w:sz w:val="21"/>
          <w:szCs w:val="21"/>
        </w:rPr>
      </w:pPr>
      <w:r>
        <w:rPr>
          <w:rFonts w:ascii="宋体" w:eastAsia="宋体" w:hAnsi="宋体" w:cs="宋体"/>
          <w:sz w:val="21"/>
          <w:szCs w:val="21"/>
          <w:lang w:eastAsia="zh-CN"/>
        </w:rPr>
        <w:t>1、赎回费用</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转出基金的赎回费率按持有年限递减，具体各基金的赎回费率请参见各基金的招募说明书或相关业务公告，并可在本公司网站（www.phfund.com.cn）查询。基金转换费用中转出基金的赎回费总额归入转出基金的基金财产比例详见转出基金招募说明书（更新）的约定。</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2、申购费用补差</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（1）当转出基金申购费低于转入基金申购费时，则按差额收取申购费用补差；当转出基金申购费高于或等于转入基金申购费时，不收取费用补差。</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（2）免申购费用的基金转入本基金，转换申购费用补差为本基金的申购费。</w:t>
      </w:r>
    </w:p>
    <w:p w:rsidR="00EA30AD" w:rsidRDefault="00914373">
      <w:pPr>
        <w:widowControl w:val="0"/>
        <w:spacing w:before="156" w:after="156"/>
        <w:jc w:val="both"/>
        <w:rPr>
          <w:lang w:eastAsia="zh-CN"/>
        </w:rPr>
      </w:pPr>
      <w:r>
        <w:rPr>
          <w:rFonts w:ascii="宋体" w:eastAsia="宋体" w:hAnsi="宋体" w:cs="宋体"/>
          <w:b/>
          <w:bCs/>
          <w:lang w:eastAsia="zh-CN"/>
        </w:rPr>
        <w:t>5.2其他与转换相关的事项</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1、转换业务适用基金范围</w:t>
      </w:r>
    </w:p>
    <w:p w:rsidR="00EA30AD" w:rsidRDefault="00914373">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上述基金的转换业务适用于其与鹏华弘泰灵活配置混合型证券投资基金（A类份额和C类份额）、鹏华货币市场证券投资基金（E类份额）、鹏华精选成长混合型证券投资基金（A类份额和C类份额）、鹏华信用增利债券型证券投资基金（A类份额和B类份额）、鹏华消费优选混合型证券投资基金、鹏华丰盛稳固收益债券型证券投资基金、鹏华新兴产业混合型证券投资基金、鹏华价值精选股票型证券投资基金、鹏华宏观灵活配置混合型证券投资基金、鹏华纯债债券型证券投资基金、鹏华产业债债券型证券投资基金（A类份额和C类份额）、鹏华双债增利债券型证券投资基金（A类份额和C类份额）、鹏华双债加利债券型证券投资基金（A类份额和C类份额）、鹏华量化先锋混合型证券投资基金、鹏华双债保利债券型证券投资基金、鹏华品牌传承灵活配置混合型证券投资基金、鹏华增值宝货币市场基金、鹏华环保产业股票型证券投资基金、鹏华医疗保健股票型证券投资基金、鹏华先进制造股票型证券投资基金、鹏华养老产业股票型证券投资基金、鹏华安盈宝货币市场基金（A类份额和C类份额和E类份额）、鹏华可转债债券型证券投资基金（A类份额和C类份额）、鹏华弘盛灵活配置混合型证券投资基金（A类份额和C类份额）、鹏华弘利灵活配置混合型证券投资基金（A类份额和C类份额）、鹏华弘泽灵活配置混合型证券投资基金（A类份额和C类份额）、鹏华弘润灵活配置混合型证券投资基金（A类份额和C类份额）、鹏华改革红利股票型证券投资基金、鹏华外延成长灵活配置混合型证券投资基金、鹏华弘和灵活配置混合型证券投资基金（A类份额和C类份额）、鹏华弘实灵活配置混合型证券投资基金（A类份额和C类份额）、鹏华弘华灵活配置混合型证券投资基金（A类份额和C类份额）、鹏华弘信灵活配置混合型证券投资基金（A类份额和C类份额）、鹏华弘益灵活配置混合型证券投资基金（A类份额和C类份额）、鹏华医药科技股票型证券投资基金（A类份额和C类份额）、鹏华弘鑫灵活配置混合型证券投资基金（A类份额和C类份额）、鹏华添利宝货币市场基金（A类份额和B类份额）、鹏华弘安灵活配置混合型证券投资基金（A类份额和C类份额）、鹏华丰华债券型证券投资基金、鹏华健康环保灵活配置混合型证券投资基金、鹏华文化传媒娱乐股票型证券投资基金、鹏华添利交易型货币市场基金（A类份额）、鹏华金城灵活配置混合型证券投资基金、鹏华丰茂债券型证券投资基金、鹏华弘达灵活配置混合型证券投资基金（A类份额和C类份额）、鹏华弘嘉灵活配置混合型证券投资基金（A类份额和C类份额）、鹏华丰达债券型证券投资基金（A类份额和C类份额）、鹏华丰恒债券型证券投资基金（A类份额和C类份额和D类份额）、鹏华弘惠灵活配置混合型证券投资基金（A类份额和C类份额）、鹏华弘康灵活配置混合型证券投资基金（A类份额和C类份额）、鹏华弘尚灵活配置混合型证券投资基金（A类份额和C类份额）、鹏华丰腾债券型证券投资基金、鹏华丰禄债券型证券投资基金、鹏华丰盈债券型证券投资基金、鹏华沪深港新兴成长灵活配置混合型证券投资基金（A类份额和C类份额）、鹏华丰惠债券型证券投资基金、鹏华安益增强混合型证券投资基金、鹏华丰享债券型证券投资基金、鹏华丰玉债券型证券投资基金（A类份额和C类份额）、鹏华丰康债券型证券投资基金（A类份额和C类份额）、鹏华丰瑞债券型证券投资基金、鹏华聚财通货币市场基金、鹏华盈余宝货币市场基金（A类份额和B类份额）、鹏华丰源债券型证券投资基金、鹏华金元宝货币市场基金、鹏华兴鑫宝货币市场基金（A类份额和C类份额和E类份额）、鹏华策略回报灵活配置混合型证券投资基金、鹏华研究精选灵活配置混合型证券投资基金、鹏华优势企业股票型证券投资基金、鹏华产业精选灵活配置混合型证券投资基金（A类份额和C类份额）、鹏华睿投灵活配置混合型证券投资基金（A类份额和C类份额）、鹏华创新驱动混合型证券投资基金、鹏华研究驱动混合型证券投资基金、鹏华优选回报灵活配置混合型证券投资基金（A类份额和C类份额）、鹏华中债1-3年国开行债券指数证券投资基金（A类份额和C类份额）、鹏华核心优势混合型证券投资基金（A类份额和C类份额）、鹏华研究智选混合型证券投资基金、鹏华金利债券型证券投资基金、鹏华丰登债券型证券投资基金、鹏华浮动净值型发起式货币市场基金、鹏华丰鑫债券型证券投资基金、鹏华丰庆债券型证券投资基金（A类份额和C类份额）、鹏华稳利短债债券型证券投资基金（A类份额和C类份额）、鹏华金享混合型证券投资基金、鹏华价值驱动混合型证券投资基金、鹏华优选价值股票型证券投资基金（A类份额和C类份额）、鹏华0-5年利率债债券型发起式证券投资基金（A类份额和C类份额）、鹏华中证500交易型开放式指数证券投资基金联接基金（A类份额和C类份额）、鹏华科技创新混合型证券投资基金、鹏华价值成长混合型证券投资基金、鹏华安泽混合型证券投资基金（A类份额和C类份额）、鹏华丰诚债券型证券投资基金（A类份额和C类份额和D类份额）、鹏华稳健回报混合型证券投资基金（A类份额和C类份额）、鹏华鑫享稳健混合型证券投资基金（A类份额和C类份额）、鹏华中债3-5年国开行债券指数证券投资基金（A类份额和C类份额）、鹏华股息精选混合型证券投资基金、鹏华成长价值混合型证券投资基金（A类份额和C类份额）、鹏华普利债券型证券投资基金（A类份额和C类份额）、鹏华优质企业混合型证券投资基金（A类份额和C类份额）、鹏华安和混合型证券投资基金（A类份额和C类份额）、鹏华安庆混合型证券投资基金（A类份额和C类份额）、鹏华安惠混合型证券投资基金（A类份额和C类份额）、鹏华匠心精选混合型证券投资基金（A类份额和C类份额）、鹏华新兴成长混合型证券投资基金（A类份额和C类份额）、鹏华安睿两年持有期混合型证券投资基金（A类份额和C类份额）、鹏华招华一年持有期混合型证券投资基金（A类份额和C类份额）、鹏华中债1-3年农发行债券指数证券投资基金（A类份额和C类份额）、鹏华年年红一年持有期债券型证券投资基金（A类份额和C类份额）、鹏华中债-0-3年AA+优选信用债指数证券投资基金（A类份额和C类份额）、鹏华启航混合型证券投资基金、鹏华成长智选混合型证券投资基金（A类份额和C类份额）、鹏华丰颐债券型证券投资基金、鹏华高质量增长混合型证券投资基金（A类份额和C类份额）、鹏华优选成长混合型证券投资基金（A类份额和C类份额）、鹏华安润混合型证券投资基金（A类份额和C类份额）、鹏华安享一年持有期混合型证券投资基金（A类份额和C类份额）、鹏华汇智优选混合型证券投资基金（A类份额和C类份额）、鹏华安裕5个月持有期混合型证券投资基金（A类份额和C类份额）、鹏华弘裕一年持有期混合型证券投资基金（A类份额和C类份额）、鹏华安悦一年持有期混合型证券投资基金（A类份额和C类份额）、鹏华品质优选混合型证券投资基金（A类份额和C类份额）、鹏华创新成长混合型证券投资基金（A类份额和C类份额）、鹏华宁华一年持有期混合型证券投资基金（A类份额和C类份额）、鹏华致远成长混合型证券投资基金（A类份额和C类份额）、鹏华远见回报三年持有期混合型证券投资基金、鹏华民丰盈和6个月持有期混合型证券投资基金（A类份额和C类份额）、鹏华招润一年持有期混合型证券投资基金（A类份额和C类份额）、鹏华鑫远价值一年持有期混合型证券投资基金（A类份额和C类份额）、鹏华远见成长混合型证券投资基金（A类份额和C类份额）、鹏华创新升级混合型证券投资基金（A类份额和C类份额）、鹏华领航一年持有期混合型证券投资基金（A类份额和C类份额）、鹏华稳泰30天滚动持有债券型证券投资基金（A类份额和C类份额）、鹏华中证内地低碳经济主题交易型开放式指数证券投资基金联接基金（A类份额和C类份额）、鹏华新能源精选混合型证券投资基金（A类份额和C类份额）、鹏华丰宁债券型证券投资基金（A类份额和C类份额）、鹏华品质成长混合型证券投资基金（A类份额和C类份额）、鹏华国证半导体芯片交易型开放式指数证券投资基金联接基金（A类份额和C类份额）、鹏华稳健鸿利一年持有期混合型证券投资基金（A类份额和C类份额）、鹏华产业升级混合型证券投资基金（A类份额和C类份额）、鹏华安诚混合型证券投资基金（A类份额和C类份额）、鹏华安荣混合型证券投资基金（A类份额和C类份额）、鹏华精选群英一年持有期灵活配置混合型管理人中管理人（MOM）证券投资基金、鹏华品质精选混合型证券投资基金（A类份额和C类份额）、鹏华安康一年持有期混合型证券投资基金（A类份额和C类份额）、鹏华安颐混合型证券投资基金（A类份额和C类份额）、鹏华稳华90天滚动持有债券型证券投资基金（A类份额和C类份额）、鹏华沃鑫混合型证券投资基金（A类份额和C类份额）、鹏华稳瑞中短债债券型证券投资基金、鹏华中证500指数增强型证券投资基金（A类份额和C类份额）、鹏华成长领航两年持有期混合型证券投资基金（A类份额和C类份额）、鹏华价值远航6个月持有期混合型证券投资基金（A类份额和C类份额）、鹏华中证细分化工产业主题交易型开放式指数证券投资基金联接基金（A类份额和C类份额）、鹏华双季享180天持有期债券型证券投资基金（A类份额和C类份额）、鹏华浙华一年持有期混合型证券投资基金（A类份额和C类份额）、鹏华创新增长一年持有期混合型证券投资基金（A类份额和C类份额）、鹏华鑫华一年持有期混合型证券投资基金（A类份额和C类份额）、鹏华稳享一年持有期混合型证券投资基金（A类份额和C类份额）、鹏华新能源汽车主题混合型证券投资基金（A类份额和C类份额）、鹏华增华混合型证券投资基金（A类份额和C类份额）、鹏华兴鹏一年持有期混合型证券投资基金（A类份额和C类份额）</w:t>
      </w:r>
      <w:bookmarkStart w:id="1" w:name="_GoBack"/>
      <w:bookmarkEnd w:id="1"/>
      <w:r>
        <w:rPr>
          <w:rFonts w:ascii="宋体" w:eastAsia="宋体" w:hAnsi="宋体" w:cs="宋体"/>
          <w:sz w:val="21"/>
          <w:szCs w:val="21"/>
          <w:lang w:eastAsia="zh-CN"/>
        </w:rPr>
        <w:t xml:space="preserve">、鹏华丰启债券型证券投资基金、鹏华畅享债券型证券投资基金（A类份额和C类份额）、鹏华创兴增利债券型证券投资基金（A类份额和C类份额和D类份额）、鹏华稳福中短债债券型证券投资基金（A类份额和C类份额和E类份额）、鹏华中证中药交易型开放式指数证券投资基金联接基金（A类份额和C类份额）、鹏华中证1000指数增强型证券投资基金（A类份额和C类份额）、鹏华稳健增利债券型证券投资基金（A类份额和C类份额）、鹏华稳健恒利债券型证券投资基金（A类份额和C类份额）、鹏华睿进一年持有期混合型证券投资基金（A类份额和C类份额）、鹏华国证2000指数增强型证券投资基金（A类份额和C类份额）、鹏华丰尊债券型证券投资基金、鹏华安锦一年持有期混合型证券投资基金（A类份额和C类份额）、鹏华汽车产业混合型发起式证券投资基金（A类份额和C类份额）、鹏华新材料混合型发起式证券投资基金（A类份额和C类份额）、鹏华稳健添利债券型证券投资基金（A类份额和C类份额）、鹏华悦享一年持有期混合型证券投资基金（A类份额和C类份额）、鹏华碳中和主题混合型证券投资基金（A类份额和C类份额）、鹏华芯片产业混合型发起式证券投资基金（A类份额和C类份额）、鹏华丰顺债券型证券投资基金、鹏华睿见混合型证券投资基金（A类份额和C类份额）、鹏华创业板50交易型开放式指数证券投资基金联接基金（A类份额和C类份额）、鹏华信用债6个月持有期债券型证券投资基金（A类份额和C类份额）、鹏华远见精选混合型发起式证券投资基金（A类份额和C类份额）、鹏华上证科创板100交易型开放式指数证券投资基金联接基金（A类份额和C类份额）、鹏华丰景债券型证券投资基金、鹏华智投800混合型证券投资基金（A类份额和C类份额）、鹏华双季红180天持有期债券型证券投资基金（A类份额和C类份额）、鹏华中证车联网主题交易型开放式指数证券投资基金发起式联接基金（A类份额和C类份额）、鹏华国证石油天然气交易型开放式指数证券投资基金联接基金（A类份额和C类份额）、鹏华永兴债券型证券投资基金之间的基金转换。 </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注：我司旗下定期开放产品在开放期间开通转换业务的，也适用于与本基金在开放期间的基金转换。</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2、基金转换份额的计算</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基金转换计算公式如下：</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转出基金赎回手续费＝转出份额×转出净值×转出基金赎回手续费率</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转出金额=转出份额×转出基金当日基金份额净值－转出基金赎回手续费</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补差费（外扣）＝转出金额×转入基金的申购费率/（1＋转入基金申购费率）－转出金额×转出基金申购费率/（1＋转出基金申购费率）</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转换费用＝转出基金赎回手续费＋补差费</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转入份额＝（转出金额－补差费）/转入基金当日基金份额净值</w:t>
      </w:r>
    </w:p>
    <w:p w:rsidR="00EA30AD" w:rsidRDefault="00914373">
      <w:pPr>
        <w:pStyle w:val="MsoNormal00"/>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 xml:space="preserve">例如：某基金份额持有人（非养老金客户）持有本基金A类基金份额10,000份满180日时决定转换为鹏华价值精选股票型证券投资基金，本基金A类基金份额对应前端申购费率为0.80%，赎回费率为0，假设转换当日转出基金份额净值是1.08元，转入基金的份额净值是1.05元，并且转入基金对应的前端申购费率为1.5%，则可得到的转换份额为： </w:t>
      </w:r>
    </w:p>
    <w:p w:rsidR="00EA30AD" w:rsidRDefault="00914373">
      <w:pPr>
        <w:pStyle w:val="MsoNormal00"/>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 xml:space="preserve">转出基金赎回手续费＝0元 </w:t>
      </w:r>
    </w:p>
    <w:p w:rsidR="00EA30AD" w:rsidRDefault="00914373">
      <w:pPr>
        <w:pStyle w:val="MsoNormal00"/>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 xml:space="preserve">转出金额=10,000×1.08=10,800元 </w:t>
      </w:r>
    </w:p>
    <w:p w:rsidR="00EA30AD" w:rsidRDefault="00914373">
      <w:pPr>
        <w:pStyle w:val="MsoNormal00"/>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 xml:space="preserve">补差费（外扣）＝10,800×1.5%/(1+1.5%)-10,800×0.80%/(1+0.80%)=73.89元 </w:t>
      </w:r>
    </w:p>
    <w:p w:rsidR="00EA30AD" w:rsidRDefault="00914373">
      <w:pPr>
        <w:pStyle w:val="MsoNormal00"/>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 xml:space="preserve">转换费用＝73.89+0＝73.89元 </w:t>
      </w:r>
    </w:p>
    <w:p w:rsidR="00EA30AD" w:rsidRDefault="00914373">
      <w:pPr>
        <w:pStyle w:val="MsoNormal00"/>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 xml:space="preserve">转入份额＝（10,800－73.89）/1.05＝10,215.34 </w:t>
      </w:r>
    </w:p>
    <w:p w:rsidR="00EA30AD" w:rsidRDefault="00914373">
      <w:pPr>
        <w:pStyle w:val="MsoNormal0"/>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 xml:space="preserve">即：某基金份额持有人（非养老金客户）持有本基金A类基金份额10,000份满180日时决定转换为鹏华价值精选股票型证券投资基金，假设转换当日转出基金份额净值是1.08元，转入基金的基金份额净值是1.05元，则可得到的转换份额为10,215.34份。 </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3、转换业务规则</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（1）基金转换只能在同一销售机构进行，且办理基金转换业务的销售机构须同时具备拟转出基金及拟转入基金的合法授权代理资格，并开通了相应的基金转换业务。</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2）基金份额登记机构以收到有效转换申请的当天作为转换申请日（T日）。投资人转换基金成功的，基金份额登记机构在T+1日为投资人办理权益转换的登记手续，投资人通常可自T+2日（含该日）后向业务办理网点查询转换业务的确认情况。</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（3）基金转换后，转入的基金份额的持有期将自转入的基金份额被确认之日起重新开始计算。</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（4）本基金单笔转换申请的最低份额为2份，基金份额持有人可将其全部或部分基金份额转换。</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5）对于转出基金的单个基金账户最低余额，请参见各基金的招募说明书或相关业务公告，若某笔转换将导致投资人在销售机构托管的转出基金份额余额不足最低余额时，该笔转换业务应包括账户内全部基金份额，否则，剩余部分的基金份额将被强制赎回。</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（6）基金转换以申请当日基金份额净值为基础计算。投资人采用“份额转换”的原则提交申请。转出基金份额必须是可用份额，并遵循赎回处理的原则。</w:t>
      </w:r>
    </w:p>
    <w:p w:rsidR="00EA30AD" w:rsidRDefault="00914373">
      <w:pPr>
        <w:pStyle w:val="2"/>
        <w:keepLines/>
        <w:widowControl w:val="0"/>
        <w:spacing w:before="156" w:after="156"/>
        <w:jc w:val="both"/>
        <w:rPr>
          <w:rFonts w:ascii="Times New Roman" w:hAnsi="Times New Roman" w:cs="Times New Roman"/>
          <w:lang w:eastAsia="zh-CN"/>
        </w:rPr>
      </w:pPr>
      <w:r>
        <w:rPr>
          <w:rFonts w:ascii="宋体" w:eastAsia="宋体" w:hAnsi="宋体" w:cs="宋体"/>
          <w:i w:val="0"/>
          <w:iCs w:val="0"/>
          <w:sz w:val="24"/>
          <w:szCs w:val="24"/>
          <w:lang w:eastAsia="zh-CN"/>
        </w:rPr>
        <w:t>6定期定额投资业务</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定期定额投资业务”是基金申购业务的一种方式。投资者可以通过销售机构提交申请，约定每期扣款时间、扣款金额及扣款方式，由销售机构于约定扣款日在投资者指定资金账户内自动完成扣款及基金申购业务。</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本基金定期定额投资业务的申购费率及计算公式等同于一般申购业务。对于满足不同条件的定期定额投资业务申请,如定期定额申购期限适逢基金费率优惠期,或通过电子交易平台等特殊渠道递交的定期定额投资业务申请,或基金管理人认为适合的其他条件，基金管理人可对该部分投资者适用不同的申购费率，并及时公告。投资者办理该业务具体费率以销售机构当时有效的业务规定或相关公告为准。</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（1）扣款日期和扣款金额</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投资者办理定期定额投资业务前，须指定本人的一个人民币结算账户作为扣款账户，并经办理本业务的销售机构认可。投资者须遵循各销售机构有关扣款日期的规定，并与销售机构约定每月固定扣款金额。本基金定期定额投资每期最低扣款金额为人民币1元（含1元），各销售机构可根据需要设置等于或高于1元的最低扣款金额，具体最低扣款金额以销售机构的规定为准。</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（2）交易确认</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本业务的申购需遵循“未知价”和“金额申购”的原则，申购价格以基金申购申请日的基金份额净值为基准进行计算。基金申购申请日（T日）为本业务每月实际扣款日（如遇非基金开放日则顺延至基金下一开放日），基金份额将在T＋1工作日确认成功后直接计入投资人的基金账户内。基金份额确认查询起始日为T＋2工作日。投资人办理基金定期定额投资业务申购基金后，本基金已开放赎回业务的，投资者可从T＋2工作日起办理基金的赎回。赎回费率按照相关基金合同约定的一般赎回业务的赎回费率执行。</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（3）变更和终止</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投资者办理“定期定额投资业务”的变更和终止，须携带本人有效身份证件及相关凭证到原办理该业务网点申请办理，办理程序遵循各销售机构的规定。</w:t>
      </w:r>
    </w:p>
    <w:p w:rsidR="00EA30AD" w:rsidRDefault="00914373">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7基金销售机构</w:t>
      </w:r>
    </w:p>
    <w:p w:rsidR="00EA30AD" w:rsidRDefault="00914373">
      <w:pPr>
        <w:widowControl w:val="0"/>
        <w:spacing w:before="156" w:after="156"/>
        <w:jc w:val="both"/>
        <w:rPr>
          <w:lang w:eastAsia="zh-CN"/>
        </w:rPr>
      </w:pPr>
      <w:r>
        <w:rPr>
          <w:rFonts w:ascii="宋体" w:eastAsia="宋体" w:hAnsi="宋体" w:cs="宋体"/>
          <w:b/>
          <w:bCs/>
          <w:lang w:eastAsia="zh-CN"/>
        </w:rPr>
        <w:t>7.1直销机构</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鹏华基金管理有限公司</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办公地址：深圳市福田区福华三路168号深圳国际商会中心43层</w:t>
      </w:r>
    </w:p>
    <w:p w:rsidR="00EA30AD" w:rsidRDefault="00914373">
      <w:pPr>
        <w:spacing w:line="360" w:lineRule="auto"/>
        <w:ind w:firstLine="420"/>
        <w:rPr>
          <w:sz w:val="21"/>
          <w:szCs w:val="21"/>
        </w:rPr>
      </w:pPr>
      <w:r>
        <w:rPr>
          <w:rFonts w:ascii="宋体" w:eastAsia="宋体" w:hAnsi="宋体" w:cs="宋体"/>
          <w:sz w:val="21"/>
          <w:szCs w:val="21"/>
          <w:lang w:eastAsia="zh-CN"/>
        </w:rPr>
        <w:t>网址：www.phfund.com.cn</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全国统一客户服务电话：400-6788-533</w:t>
      </w:r>
    </w:p>
    <w:p w:rsidR="00EA30AD" w:rsidRDefault="00914373">
      <w:pPr>
        <w:widowControl w:val="0"/>
        <w:spacing w:before="156" w:after="156"/>
        <w:jc w:val="both"/>
        <w:rPr>
          <w:lang w:eastAsia="zh-CN"/>
        </w:rPr>
      </w:pPr>
      <w:r>
        <w:rPr>
          <w:rFonts w:ascii="宋体" w:eastAsia="宋体" w:hAnsi="宋体" w:cs="宋体"/>
          <w:b/>
          <w:bCs/>
          <w:lang w:eastAsia="zh-CN"/>
        </w:rPr>
        <w:t>7.2其他销售机构</w:t>
      </w:r>
    </w:p>
    <w:p w:rsidR="00EA30AD" w:rsidRDefault="00914373">
      <w:pPr>
        <w:spacing w:line="360" w:lineRule="auto"/>
        <w:ind w:firstLine="315"/>
        <w:rPr>
          <w:rFonts w:ascii="宋体" w:eastAsia="宋体" w:hAnsi="宋体" w:cs="宋体"/>
          <w:sz w:val="21"/>
          <w:szCs w:val="21"/>
          <w:lang w:eastAsia="zh-CN"/>
        </w:rPr>
      </w:pPr>
      <w:r>
        <w:rPr>
          <w:rFonts w:ascii="宋体" w:eastAsia="宋体" w:hAnsi="宋体" w:cs="宋体"/>
          <w:sz w:val="21"/>
          <w:szCs w:val="21"/>
          <w:lang w:eastAsia="zh-CN"/>
        </w:rPr>
        <w:t>1、银行销售机构：招商银行、平安银行。</w:t>
      </w:r>
    </w:p>
    <w:p w:rsidR="00EA30AD" w:rsidRDefault="00914373">
      <w:pPr>
        <w:spacing w:line="360" w:lineRule="auto"/>
        <w:ind w:firstLine="315"/>
        <w:rPr>
          <w:rFonts w:ascii="宋体" w:eastAsia="宋体" w:hAnsi="宋体" w:cs="宋体"/>
          <w:sz w:val="21"/>
          <w:szCs w:val="21"/>
          <w:lang w:eastAsia="zh-CN"/>
        </w:rPr>
      </w:pPr>
      <w:r>
        <w:rPr>
          <w:rFonts w:ascii="宋体" w:eastAsia="宋体" w:hAnsi="宋体" w:cs="宋体"/>
          <w:sz w:val="21"/>
          <w:szCs w:val="21"/>
          <w:lang w:eastAsia="zh-CN"/>
        </w:rPr>
        <w:t>2、证券（期货）销售机构：兴业证券。</w:t>
      </w:r>
    </w:p>
    <w:p w:rsidR="00EA30AD" w:rsidRDefault="00914373">
      <w:pPr>
        <w:spacing w:line="360" w:lineRule="auto"/>
        <w:ind w:firstLine="315"/>
        <w:rPr>
          <w:rFonts w:ascii="宋体" w:eastAsia="宋体" w:hAnsi="宋体" w:cs="宋体"/>
          <w:sz w:val="21"/>
          <w:szCs w:val="21"/>
          <w:lang w:eastAsia="zh-CN"/>
        </w:rPr>
      </w:pPr>
      <w:r>
        <w:rPr>
          <w:rFonts w:ascii="宋体" w:eastAsia="宋体" w:hAnsi="宋体" w:cs="宋体"/>
          <w:sz w:val="21"/>
          <w:szCs w:val="21"/>
          <w:lang w:eastAsia="zh-CN"/>
        </w:rPr>
        <w:t>3、第三方销售机构：上海天天、盈米财富、基煜基金、万得基金、蚂蚁基金、上海利得、腾安基金、创金启富、洪泰财富、汇成基金、北京肯特瑞。</w:t>
      </w:r>
    </w:p>
    <w:p w:rsidR="00EA30AD" w:rsidRDefault="00914373">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8基金份额净值公告/基金收益公告的披露安排</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在开始办理基金份额申购或者赎回后，本基金在不晚于每个开放日的次日，通过规定网站、基金销售机构网站或者营业网点，披露开放日的基金份额净值和基金份额累计净值。</w:t>
      </w:r>
    </w:p>
    <w:p w:rsidR="00EA30AD" w:rsidRDefault="00914373">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9其他需要提示的事项</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1、如发生不可抗力或其他情形致使基金无法按时开放或需依据基金合同暂停申购与赎回业务的，基金管理人可以合理调整申购或赎回业务的办理期间并予以公告。</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2、本公告仅对本基金开放申购、赎回、转换和定期定额投资业务的有关事项予以说明。投资人欲了解本基金相关业务规则的详细情况，请阅读刊登在中国证监会规定信息披露媒介上的《鹏华精新添利债券型证券投资基金招募说明书》。</w:t>
      </w:r>
    </w:p>
    <w:p w:rsidR="00EA30AD" w:rsidRDefault="00914373">
      <w:pPr>
        <w:spacing w:line="360" w:lineRule="auto"/>
        <w:ind w:firstLine="420"/>
        <w:rPr>
          <w:sz w:val="21"/>
          <w:szCs w:val="21"/>
          <w:lang w:eastAsia="zh-CN"/>
        </w:rPr>
      </w:pPr>
      <w:r>
        <w:rPr>
          <w:rFonts w:ascii="宋体" w:eastAsia="宋体" w:hAnsi="宋体" w:cs="宋体"/>
          <w:sz w:val="21"/>
          <w:szCs w:val="21"/>
          <w:lang w:eastAsia="zh-CN"/>
        </w:rPr>
        <w:t>风险提示：本基金管理人承诺以诚实信用、勤勉尽责的原则管理和运用基金资产，但不保证基金一定盈利，也不保证最低收益。定期定额投资是引导投资人进行长期投资、平均投资成本的一种简单易行的投资方式。但是定期定额投资并不能规避基金投资所固有的风险，不能保证投资人获得收益，也不是替代储蓄的等效理财方式。请投资人投资本基金前认真阅读本基金的基金合同、招募说明书和基金产品资料概要，并根据自身风险承受能力选择适合自己的基金产品。敬请投资人注意投资风险。</w:t>
      </w:r>
    </w:p>
    <w:p w:rsidR="00EA30AD" w:rsidRDefault="00914373">
      <w:pPr>
        <w:widowControl w:val="0"/>
        <w:spacing w:line="360" w:lineRule="auto"/>
        <w:rPr>
          <w:sz w:val="21"/>
          <w:szCs w:val="21"/>
          <w:lang w:eastAsia="zh-CN"/>
        </w:rPr>
      </w:pPr>
      <w:r>
        <w:rPr>
          <w:rFonts w:eastAsia="Times New Roman"/>
          <w:sz w:val="21"/>
          <w:szCs w:val="21"/>
          <w:lang w:eastAsia="zh-CN"/>
        </w:rPr>
        <w:t> </w:t>
      </w:r>
    </w:p>
    <w:p w:rsidR="00EA30AD" w:rsidRPr="0003338C" w:rsidRDefault="00914373">
      <w:pPr>
        <w:widowControl w:val="0"/>
        <w:spacing w:line="360" w:lineRule="auto"/>
        <w:ind w:firstLine="420"/>
        <w:jc w:val="right"/>
        <w:rPr>
          <w:rFonts w:ascii="宋体" w:eastAsia="宋体" w:hAnsi="宋体"/>
          <w:sz w:val="21"/>
          <w:szCs w:val="21"/>
          <w:lang w:eastAsia="zh-CN"/>
        </w:rPr>
      </w:pPr>
      <w:r w:rsidRPr="0003338C">
        <w:rPr>
          <w:rFonts w:ascii="宋体" w:eastAsia="宋体" w:hAnsi="宋体" w:cs="宋体"/>
          <w:sz w:val="21"/>
          <w:szCs w:val="21"/>
          <w:lang w:eastAsia="zh-CN"/>
        </w:rPr>
        <w:t>鹏华基金管理有限公司</w:t>
      </w:r>
    </w:p>
    <w:p w:rsidR="00EA30AD" w:rsidRPr="0003338C" w:rsidRDefault="00914373">
      <w:pPr>
        <w:widowControl w:val="0"/>
        <w:spacing w:line="360" w:lineRule="auto"/>
        <w:ind w:firstLine="420"/>
        <w:jc w:val="right"/>
        <w:rPr>
          <w:rFonts w:ascii="宋体" w:eastAsia="宋体" w:hAnsi="宋体"/>
          <w:sz w:val="21"/>
          <w:szCs w:val="21"/>
        </w:rPr>
      </w:pPr>
      <w:r w:rsidRPr="0003338C">
        <w:rPr>
          <w:rFonts w:ascii="宋体" w:eastAsia="宋体" w:hAnsi="宋体"/>
          <w:sz w:val="21"/>
          <w:szCs w:val="21"/>
          <w:lang w:eastAsia="zh-CN"/>
        </w:rPr>
        <w:t>2024</w:t>
      </w:r>
      <w:r w:rsidRPr="0003338C">
        <w:rPr>
          <w:rFonts w:ascii="宋体" w:eastAsia="宋体" w:hAnsi="宋体" w:cs="宋体"/>
          <w:sz w:val="21"/>
          <w:szCs w:val="21"/>
          <w:lang w:eastAsia="zh-CN"/>
        </w:rPr>
        <w:t>年</w:t>
      </w:r>
      <w:r w:rsidRPr="0003338C">
        <w:rPr>
          <w:rFonts w:ascii="宋体" w:eastAsia="宋体" w:hAnsi="宋体"/>
          <w:sz w:val="21"/>
          <w:szCs w:val="21"/>
          <w:lang w:eastAsia="zh-CN"/>
        </w:rPr>
        <w:t>06</w:t>
      </w:r>
      <w:r w:rsidRPr="0003338C">
        <w:rPr>
          <w:rFonts w:ascii="宋体" w:eastAsia="宋体" w:hAnsi="宋体" w:cs="宋体"/>
          <w:sz w:val="21"/>
          <w:szCs w:val="21"/>
          <w:lang w:eastAsia="zh-CN"/>
        </w:rPr>
        <w:t>月</w:t>
      </w:r>
      <w:r w:rsidRPr="0003338C">
        <w:rPr>
          <w:rFonts w:ascii="宋体" w:eastAsia="宋体" w:hAnsi="宋体"/>
          <w:sz w:val="21"/>
          <w:szCs w:val="21"/>
          <w:lang w:eastAsia="zh-CN"/>
        </w:rPr>
        <w:t>11</w:t>
      </w:r>
      <w:r w:rsidRPr="0003338C">
        <w:rPr>
          <w:rFonts w:ascii="宋体" w:eastAsia="宋体" w:hAnsi="宋体" w:cs="宋体"/>
          <w:sz w:val="21"/>
          <w:szCs w:val="21"/>
          <w:lang w:eastAsia="zh-CN"/>
        </w:rPr>
        <w:t>日</w:t>
      </w:r>
    </w:p>
    <w:p w:rsidR="00A77B3E" w:rsidRDefault="00A77B3E"/>
    <w:sectPr w:rsidR="00A77B3E" w:rsidSect="00EB577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320" w:rsidRDefault="00241320">
      <w:r>
        <w:separator/>
      </w:r>
    </w:p>
  </w:endnote>
  <w:endnote w:type="continuationSeparator" w:id="0">
    <w:p w:rsidR="00241320" w:rsidRDefault="00241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AD" w:rsidRDefault="00EB577B">
    <w:pPr>
      <w:jc w:val="center"/>
    </w:pPr>
    <w:r>
      <w:rPr>
        <w:rFonts w:ascii="宋体" w:eastAsia="宋体" w:hAnsi="宋体" w:cs="宋体"/>
        <w:sz w:val="18"/>
      </w:rPr>
      <w:fldChar w:fldCharType="begin"/>
    </w:r>
    <w:r w:rsidR="00914373">
      <w:rPr>
        <w:rFonts w:ascii="宋体" w:eastAsia="宋体" w:hAnsi="宋体" w:cs="宋体"/>
        <w:sz w:val="18"/>
        <w:lang w:eastAsia="zh-CN"/>
      </w:rPr>
      <w:instrText xml:space="preserve"> PAGE </w:instrText>
    </w:r>
    <w:r>
      <w:rPr>
        <w:rFonts w:ascii="宋体" w:eastAsia="宋体" w:hAnsi="宋体" w:cs="宋体"/>
        <w:sz w:val="18"/>
      </w:rPr>
      <w:fldChar w:fldCharType="separate"/>
    </w:r>
    <w:r w:rsidR="00CF7795">
      <w:rPr>
        <w:rFonts w:ascii="宋体" w:eastAsia="宋体" w:hAnsi="宋体" w:cs="宋体"/>
        <w:noProof/>
        <w:sz w:val="18"/>
        <w:lang w:eastAsia="zh-CN"/>
      </w:rPr>
      <w:t>1</w:t>
    </w:r>
    <w:r>
      <w:rPr>
        <w:rFonts w:ascii="宋体" w:eastAsia="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320" w:rsidRDefault="00241320">
      <w:r>
        <w:separator/>
      </w:r>
    </w:p>
  </w:footnote>
  <w:footnote w:type="continuationSeparator" w:id="0">
    <w:p w:rsidR="00241320" w:rsidRDefault="002413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3338C"/>
    <w:rsid w:val="00241320"/>
    <w:rsid w:val="006E27F6"/>
    <w:rsid w:val="00914373"/>
    <w:rsid w:val="00A77B3E"/>
    <w:rsid w:val="00CA2A55"/>
    <w:rsid w:val="00CF7795"/>
    <w:rsid w:val="00EA30AD"/>
    <w:rsid w:val="00EB57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7B"/>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B577B"/>
  </w:style>
  <w:style w:type="table" w:customStyle="1" w:styleId="MsoNormalTable0">
    <w:name w:val="MsoNormalTable"/>
    <w:basedOn w:val="a1"/>
    <w:rsid w:val="00EB577B"/>
    <w:tblPr>
      <w:tblInd w:w="0" w:type="dxa"/>
      <w:tblCellMar>
        <w:top w:w="0" w:type="dxa"/>
        <w:left w:w="108" w:type="dxa"/>
        <w:bottom w:w="0" w:type="dxa"/>
        <w:right w:w="108" w:type="dxa"/>
      </w:tblCellMar>
    </w:tblPr>
  </w:style>
  <w:style w:type="paragraph" w:customStyle="1" w:styleId="a3">
    <w:name w:val="a"/>
    <w:basedOn w:val="a"/>
    <w:rsid w:val="00EB577B"/>
  </w:style>
  <w:style w:type="paragraph" w:customStyle="1" w:styleId="MsoNormal00">
    <w:name w:val="MsoNormal0"/>
    <w:basedOn w:val="a"/>
    <w:rsid w:val="00EB577B"/>
  </w:style>
  <w:style w:type="paragraph" w:styleId="1">
    <w:name w:val="toc 1"/>
    <w:basedOn w:val="a"/>
    <w:next w:val="a"/>
    <w:autoRedefine/>
    <w:rsid w:val="00805BCE"/>
    <w:pPr>
      <w:spacing w:line="360" w:lineRule="auto"/>
    </w:pPr>
    <w:rPr>
      <w:rFonts w:ascii="宋体" w:eastAsia="宋体" w:hAnsi="宋体" w:cs="宋体"/>
      <w:b/>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1493</Words>
  <Characters>8513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2024-06-09T16:01:00Z</dcterms:created>
  <dcterms:modified xsi:type="dcterms:W3CDTF">2024-06-09T16:01:00Z</dcterms:modified>
</cp:coreProperties>
</file>