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11" w:rsidRDefault="00A21C72" w:rsidP="00401B11">
      <w:pPr>
        <w:adjustRightInd w:val="0"/>
        <w:snapToGrid w:val="0"/>
        <w:spacing w:line="360" w:lineRule="auto"/>
        <w:ind w:firstLineChars="200" w:firstLine="800"/>
        <w:jc w:val="center"/>
        <w:rPr>
          <w:rFonts w:asciiTheme="minorEastAsia" w:hAnsiTheme="minorEastAsia"/>
          <w:b/>
          <w:bCs/>
          <w:sz w:val="40"/>
          <w:szCs w:val="24"/>
        </w:rPr>
      </w:pPr>
      <w:r w:rsidRPr="00401B11">
        <w:rPr>
          <w:rFonts w:asciiTheme="minorEastAsia" w:hAnsiTheme="minorEastAsia" w:hint="eastAsia"/>
          <w:b/>
          <w:bCs/>
          <w:sz w:val="40"/>
          <w:szCs w:val="24"/>
        </w:rPr>
        <w:t>平安合盛3个月定期开放债券型发起式</w:t>
      </w:r>
    </w:p>
    <w:p w:rsidR="00640738" w:rsidRPr="00401B11" w:rsidRDefault="00A21C72" w:rsidP="00401B11">
      <w:pPr>
        <w:adjustRightInd w:val="0"/>
        <w:snapToGrid w:val="0"/>
        <w:spacing w:line="360" w:lineRule="auto"/>
        <w:ind w:firstLineChars="200" w:firstLine="800"/>
        <w:jc w:val="center"/>
        <w:rPr>
          <w:rFonts w:asciiTheme="minorEastAsia" w:hAnsiTheme="minorEastAsia"/>
          <w:b/>
          <w:bCs/>
          <w:sz w:val="40"/>
          <w:szCs w:val="24"/>
        </w:rPr>
      </w:pPr>
      <w:r w:rsidRPr="00401B11">
        <w:rPr>
          <w:rFonts w:asciiTheme="minorEastAsia" w:hAnsiTheme="minorEastAsia" w:hint="eastAsia"/>
          <w:b/>
          <w:bCs/>
          <w:sz w:val="40"/>
          <w:szCs w:val="24"/>
        </w:rPr>
        <w:t>证券投资基金</w:t>
      </w:r>
      <w:r w:rsidR="00BD01F8" w:rsidRPr="00401B11">
        <w:rPr>
          <w:rFonts w:asciiTheme="minorEastAsia" w:hAnsiTheme="minorEastAsia" w:hint="eastAsia"/>
          <w:b/>
          <w:sz w:val="40"/>
          <w:szCs w:val="24"/>
        </w:rPr>
        <w:t>分红公告</w:t>
      </w:r>
    </w:p>
    <w:p w:rsidR="00BD01F8" w:rsidRPr="00401B11" w:rsidRDefault="00BD01F8" w:rsidP="00401B11">
      <w:pPr>
        <w:adjustRightInd w:val="0"/>
        <w:snapToGrid w:val="0"/>
        <w:spacing w:line="360" w:lineRule="auto"/>
        <w:ind w:firstLineChars="200" w:firstLine="480"/>
        <w:jc w:val="center"/>
        <w:rPr>
          <w:rFonts w:asciiTheme="minorEastAsia" w:hAnsiTheme="minorEastAsia"/>
          <w:color w:val="000000"/>
          <w:sz w:val="24"/>
          <w:szCs w:val="24"/>
        </w:rPr>
      </w:pPr>
      <w:r w:rsidRPr="00401B11">
        <w:rPr>
          <w:rFonts w:asciiTheme="minorEastAsia" w:hAnsiTheme="minorEastAsia"/>
          <w:color w:val="000000"/>
          <w:sz w:val="24"/>
          <w:szCs w:val="24"/>
        </w:rPr>
        <w:t>公告送出日期：</w:t>
      </w:r>
      <w:r w:rsidR="00CB3B21">
        <w:rPr>
          <w:rFonts w:asciiTheme="minorEastAsia" w:hAnsiTheme="minorEastAsia"/>
          <w:color w:val="000000"/>
          <w:sz w:val="24"/>
          <w:szCs w:val="24"/>
          <w:lang w:bidi="zh-CN"/>
        </w:rPr>
        <w:t>2024</w:t>
      </w:r>
      <w:r w:rsidR="00633D30" w:rsidRPr="00401B11">
        <w:rPr>
          <w:rFonts w:asciiTheme="minorEastAsia" w:hAnsiTheme="minorEastAsia"/>
          <w:color w:val="000000"/>
          <w:sz w:val="24"/>
          <w:szCs w:val="24"/>
          <w:lang w:bidi="zh-CN"/>
        </w:rPr>
        <w:t>年</w:t>
      </w:r>
      <w:r w:rsidR="00CB3B21">
        <w:rPr>
          <w:rFonts w:asciiTheme="minorEastAsia" w:hAnsiTheme="minorEastAsia"/>
          <w:color w:val="000000"/>
          <w:sz w:val="24"/>
          <w:szCs w:val="24"/>
          <w:lang w:bidi="zh-CN"/>
        </w:rPr>
        <w:t>6</w:t>
      </w:r>
      <w:r w:rsidR="00633D30" w:rsidRPr="00401B11">
        <w:rPr>
          <w:rFonts w:asciiTheme="minorEastAsia" w:hAnsiTheme="minorEastAsia"/>
          <w:color w:val="000000"/>
          <w:sz w:val="24"/>
          <w:szCs w:val="24"/>
          <w:lang w:bidi="zh-CN"/>
        </w:rPr>
        <w:t>月</w:t>
      </w:r>
      <w:r w:rsidR="00CB3B21">
        <w:rPr>
          <w:rFonts w:asciiTheme="minorEastAsia" w:hAnsiTheme="minorEastAsia"/>
          <w:color w:val="000000"/>
          <w:sz w:val="24"/>
          <w:szCs w:val="24"/>
          <w:lang w:bidi="zh-CN"/>
        </w:rPr>
        <w:t>8</w:t>
      </w:r>
      <w:r w:rsidR="00633D30" w:rsidRPr="00401B11">
        <w:rPr>
          <w:rFonts w:asciiTheme="minorEastAsia" w:hAnsiTheme="minorEastAsia"/>
          <w:color w:val="000000"/>
          <w:sz w:val="24"/>
          <w:szCs w:val="24"/>
          <w:lang w:bidi="zh-CN"/>
        </w:rPr>
        <w:t>日</w:t>
      </w:r>
    </w:p>
    <w:p w:rsidR="00BD01F8" w:rsidRPr="00401B11" w:rsidRDefault="00BD01F8" w:rsidP="00401B11">
      <w:pPr>
        <w:pStyle w:val="2"/>
        <w:adjustRightInd w:val="0"/>
        <w:snapToGrid w:val="0"/>
        <w:spacing w:line="360" w:lineRule="auto"/>
        <w:rPr>
          <w:rFonts w:asciiTheme="minorEastAsia" w:eastAsiaTheme="minorEastAsia" w:hAnsiTheme="minorEastAsia"/>
          <w:color w:val="000000"/>
          <w:sz w:val="24"/>
          <w:szCs w:val="24"/>
        </w:rPr>
      </w:pPr>
      <w:bookmarkStart w:id="0" w:name="_Toc275961418"/>
      <w:r w:rsidRPr="00401B11">
        <w:rPr>
          <w:rFonts w:asciiTheme="minorEastAsia" w:eastAsiaTheme="minorEastAsia" w:hAnsiTheme="minorEastAsia"/>
          <w:color w:val="000000"/>
          <w:sz w:val="24"/>
          <w:szCs w:val="24"/>
        </w:rPr>
        <w:t>1 公告基本信息</w:t>
      </w:r>
      <w:bookmarkEnd w:id="0"/>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2977"/>
        <w:gridCol w:w="4536"/>
      </w:tblGrid>
      <w:tr w:rsidR="006F611B" w:rsidRPr="00401B11" w:rsidTr="00401B11">
        <w:trPr>
          <w:jc w:val="center"/>
        </w:trPr>
        <w:tc>
          <w:tcPr>
            <w:tcW w:w="4390" w:type="dxa"/>
            <w:gridSpan w:val="2"/>
          </w:tcPr>
          <w:p w:rsidR="006F611B" w:rsidRPr="00401B11" w:rsidRDefault="006F611B"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基金名称</w:t>
            </w:r>
          </w:p>
        </w:tc>
        <w:tc>
          <w:tcPr>
            <w:tcW w:w="4536" w:type="dxa"/>
          </w:tcPr>
          <w:p w:rsidR="006F611B" w:rsidRPr="00401B11" w:rsidRDefault="00A21C72"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hint="eastAsia"/>
                <w:color w:val="000000"/>
                <w:sz w:val="24"/>
                <w:szCs w:val="24"/>
              </w:rPr>
              <w:t>平安合盛3个月定期开放债券型发起式证券投资基金</w:t>
            </w:r>
          </w:p>
        </w:tc>
      </w:tr>
      <w:tr w:rsidR="006F611B" w:rsidRPr="00401B11" w:rsidTr="00401B11">
        <w:trPr>
          <w:jc w:val="center"/>
        </w:trPr>
        <w:tc>
          <w:tcPr>
            <w:tcW w:w="4390" w:type="dxa"/>
            <w:gridSpan w:val="2"/>
          </w:tcPr>
          <w:p w:rsidR="006F611B" w:rsidRPr="00401B11" w:rsidRDefault="006F611B"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基金简称</w:t>
            </w:r>
          </w:p>
        </w:tc>
        <w:tc>
          <w:tcPr>
            <w:tcW w:w="4536" w:type="dxa"/>
          </w:tcPr>
          <w:p w:rsidR="006F611B" w:rsidRPr="00401B11" w:rsidRDefault="00A21C72"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hint="eastAsia"/>
                <w:color w:val="000000"/>
                <w:sz w:val="24"/>
                <w:szCs w:val="24"/>
              </w:rPr>
              <w:t>平安合盛</w:t>
            </w:r>
            <w:r w:rsidR="006F611B" w:rsidRPr="00401B11">
              <w:rPr>
                <w:rFonts w:asciiTheme="minorEastAsia" w:hAnsiTheme="minorEastAsia" w:hint="eastAsia"/>
                <w:color w:val="000000"/>
                <w:sz w:val="24"/>
                <w:szCs w:val="24"/>
              </w:rPr>
              <w:t>定开债</w:t>
            </w:r>
          </w:p>
        </w:tc>
      </w:tr>
      <w:tr w:rsidR="006F611B" w:rsidRPr="00401B11" w:rsidTr="00401B11">
        <w:trPr>
          <w:jc w:val="center"/>
        </w:trPr>
        <w:tc>
          <w:tcPr>
            <w:tcW w:w="4390" w:type="dxa"/>
            <w:gridSpan w:val="2"/>
          </w:tcPr>
          <w:p w:rsidR="006F611B" w:rsidRPr="00401B11" w:rsidRDefault="006F611B"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基金主代码</w:t>
            </w:r>
          </w:p>
        </w:tc>
        <w:tc>
          <w:tcPr>
            <w:tcW w:w="4536" w:type="dxa"/>
          </w:tcPr>
          <w:p w:rsidR="006F611B" w:rsidRPr="00401B11" w:rsidRDefault="00A21C72"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007158</w:t>
            </w:r>
          </w:p>
        </w:tc>
      </w:tr>
      <w:tr w:rsidR="006F611B" w:rsidRPr="00401B11" w:rsidTr="00401B11">
        <w:trPr>
          <w:jc w:val="center"/>
        </w:trPr>
        <w:tc>
          <w:tcPr>
            <w:tcW w:w="4390" w:type="dxa"/>
            <w:gridSpan w:val="2"/>
          </w:tcPr>
          <w:p w:rsidR="006F611B" w:rsidRPr="00401B11" w:rsidRDefault="006F611B"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基金管理人名称</w:t>
            </w:r>
          </w:p>
        </w:tc>
        <w:tc>
          <w:tcPr>
            <w:tcW w:w="4536" w:type="dxa"/>
            <w:vAlign w:val="center"/>
          </w:tcPr>
          <w:p w:rsidR="006F611B" w:rsidRPr="00401B11" w:rsidRDefault="006F611B"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hint="eastAsia"/>
                <w:color w:val="000000"/>
                <w:sz w:val="24"/>
                <w:szCs w:val="24"/>
              </w:rPr>
              <w:t>平安基金管理有限公司</w:t>
            </w:r>
          </w:p>
        </w:tc>
      </w:tr>
      <w:tr w:rsidR="006F611B" w:rsidRPr="00401B11" w:rsidTr="00401B11">
        <w:trPr>
          <w:jc w:val="center"/>
        </w:trPr>
        <w:tc>
          <w:tcPr>
            <w:tcW w:w="4390" w:type="dxa"/>
            <w:gridSpan w:val="2"/>
          </w:tcPr>
          <w:p w:rsidR="006F611B" w:rsidRPr="00401B11" w:rsidRDefault="006F611B"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基金托管人名称</w:t>
            </w:r>
          </w:p>
        </w:tc>
        <w:tc>
          <w:tcPr>
            <w:tcW w:w="4536" w:type="dxa"/>
            <w:vAlign w:val="center"/>
          </w:tcPr>
          <w:p w:rsidR="006F611B" w:rsidRPr="00401B11" w:rsidRDefault="00A21C72"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hint="eastAsia"/>
                <w:color w:val="000000"/>
                <w:sz w:val="24"/>
                <w:szCs w:val="24"/>
              </w:rPr>
              <w:t>交通</w:t>
            </w:r>
            <w:r w:rsidR="006F611B" w:rsidRPr="00401B11">
              <w:rPr>
                <w:rFonts w:asciiTheme="minorEastAsia" w:hAnsiTheme="minorEastAsia" w:hint="eastAsia"/>
                <w:color w:val="000000"/>
                <w:sz w:val="24"/>
                <w:szCs w:val="24"/>
              </w:rPr>
              <w:t>银行股份有限公司</w:t>
            </w:r>
          </w:p>
        </w:tc>
      </w:tr>
      <w:tr w:rsidR="006F611B" w:rsidRPr="00401B11" w:rsidTr="00401B11">
        <w:trPr>
          <w:jc w:val="center"/>
        </w:trPr>
        <w:tc>
          <w:tcPr>
            <w:tcW w:w="4390" w:type="dxa"/>
            <w:gridSpan w:val="2"/>
          </w:tcPr>
          <w:p w:rsidR="006F611B" w:rsidRPr="00401B11" w:rsidRDefault="006F611B"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hint="eastAsia"/>
                <w:color w:val="000000"/>
                <w:sz w:val="24"/>
                <w:szCs w:val="24"/>
              </w:rPr>
              <w:t>基金合同生效日</w:t>
            </w:r>
          </w:p>
        </w:tc>
        <w:tc>
          <w:tcPr>
            <w:tcW w:w="4536" w:type="dxa"/>
          </w:tcPr>
          <w:p w:rsidR="006F611B" w:rsidRPr="00401B11" w:rsidRDefault="00487600"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2019年5月10日</w:t>
            </w:r>
          </w:p>
        </w:tc>
      </w:tr>
      <w:tr w:rsidR="006F611B" w:rsidRPr="00401B11" w:rsidTr="00401B11">
        <w:trPr>
          <w:jc w:val="center"/>
        </w:trPr>
        <w:tc>
          <w:tcPr>
            <w:tcW w:w="4390" w:type="dxa"/>
            <w:gridSpan w:val="2"/>
          </w:tcPr>
          <w:p w:rsidR="006F611B" w:rsidRPr="00401B11" w:rsidRDefault="006F611B"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公告依据</w:t>
            </w:r>
          </w:p>
        </w:tc>
        <w:tc>
          <w:tcPr>
            <w:tcW w:w="4536" w:type="dxa"/>
          </w:tcPr>
          <w:p w:rsidR="006F611B" w:rsidRPr="00401B11" w:rsidRDefault="006F611B"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hint="eastAsia"/>
                <w:color w:val="000000"/>
                <w:sz w:val="24"/>
                <w:szCs w:val="24"/>
              </w:rPr>
              <w:t>《公开募集证券投资基金信息披露管理办法》及本基金</w:t>
            </w:r>
            <w:r w:rsidR="00460F3B" w:rsidRPr="00401B11">
              <w:rPr>
                <w:rFonts w:asciiTheme="minorEastAsia" w:hAnsiTheme="minorEastAsia" w:hint="eastAsia"/>
                <w:color w:val="000000"/>
                <w:sz w:val="24"/>
                <w:szCs w:val="24"/>
              </w:rPr>
              <w:t>基金</w:t>
            </w:r>
            <w:r w:rsidRPr="00401B11">
              <w:rPr>
                <w:rFonts w:asciiTheme="minorEastAsia" w:hAnsiTheme="minorEastAsia" w:hint="eastAsia"/>
                <w:color w:val="000000"/>
                <w:sz w:val="24"/>
                <w:szCs w:val="24"/>
              </w:rPr>
              <w:t>合同和招募说明书等。</w:t>
            </w:r>
          </w:p>
        </w:tc>
      </w:tr>
      <w:tr w:rsidR="006F611B" w:rsidRPr="00401B11" w:rsidTr="00401B11">
        <w:trPr>
          <w:jc w:val="center"/>
        </w:trPr>
        <w:tc>
          <w:tcPr>
            <w:tcW w:w="4390" w:type="dxa"/>
            <w:gridSpan w:val="2"/>
          </w:tcPr>
          <w:p w:rsidR="006F611B" w:rsidRPr="00401B11" w:rsidRDefault="006F611B"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收益分配基准日</w:t>
            </w:r>
          </w:p>
        </w:tc>
        <w:tc>
          <w:tcPr>
            <w:tcW w:w="4536" w:type="dxa"/>
          </w:tcPr>
          <w:p w:rsidR="006F611B" w:rsidRPr="00401B11" w:rsidRDefault="00CB3B21" w:rsidP="003630B4">
            <w:pPr>
              <w:adjustRightInd w:val="0"/>
              <w:snapToGrid w:val="0"/>
              <w:spacing w:line="360" w:lineRule="auto"/>
              <w:rPr>
                <w:rFonts w:asciiTheme="minorEastAsia" w:hAnsiTheme="minorEastAsia"/>
                <w:color w:val="000000"/>
                <w:sz w:val="24"/>
                <w:szCs w:val="24"/>
              </w:rPr>
            </w:pPr>
            <w:r>
              <w:rPr>
                <w:rFonts w:asciiTheme="minorEastAsia" w:hAnsiTheme="minorEastAsia"/>
                <w:sz w:val="24"/>
                <w:szCs w:val="24"/>
              </w:rPr>
              <w:t>2024</w:t>
            </w:r>
            <w:r w:rsidR="00FE0CC7">
              <w:rPr>
                <w:rFonts w:asciiTheme="minorEastAsia" w:hAnsiTheme="minorEastAsia" w:hint="eastAsia"/>
                <w:sz w:val="24"/>
                <w:szCs w:val="24"/>
              </w:rPr>
              <w:t>年</w:t>
            </w:r>
            <w:r>
              <w:rPr>
                <w:rFonts w:asciiTheme="minorEastAsia" w:hAnsiTheme="minorEastAsia"/>
                <w:sz w:val="24"/>
                <w:szCs w:val="24"/>
              </w:rPr>
              <w:t>6</w:t>
            </w:r>
            <w:r w:rsidR="00FE0CC7">
              <w:rPr>
                <w:rFonts w:asciiTheme="minorEastAsia" w:hAnsiTheme="minorEastAsia" w:hint="eastAsia"/>
                <w:sz w:val="24"/>
                <w:szCs w:val="24"/>
              </w:rPr>
              <w:t>月</w:t>
            </w:r>
            <w:r w:rsidR="003630B4">
              <w:rPr>
                <w:rFonts w:asciiTheme="minorEastAsia" w:hAnsiTheme="minorEastAsia"/>
                <w:sz w:val="24"/>
                <w:szCs w:val="24"/>
              </w:rPr>
              <w:t>4</w:t>
            </w:r>
            <w:r w:rsidR="00FE0CC7">
              <w:rPr>
                <w:rFonts w:asciiTheme="minorEastAsia" w:hAnsiTheme="minorEastAsia" w:hint="eastAsia"/>
                <w:sz w:val="24"/>
                <w:szCs w:val="24"/>
              </w:rPr>
              <w:t>日</w:t>
            </w:r>
          </w:p>
        </w:tc>
      </w:tr>
      <w:tr w:rsidR="006F611B" w:rsidRPr="00401B11" w:rsidTr="00401B11">
        <w:trPr>
          <w:jc w:val="center"/>
        </w:trPr>
        <w:tc>
          <w:tcPr>
            <w:tcW w:w="1413" w:type="dxa"/>
            <w:vMerge w:val="restart"/>
            <w:vAlign w:val="center"/>
          </w:tcPr>
          <w:p w:rsidR="006F611B" w:rsidRPr="00401B11" w:rsidRDefault="006F611B" w:rsidP="00401B11">
            <w:pPr>
              <w:adjustRightInd w:val="0"/>
              <w:snapToGrid w:val="0"/>
              <w:spacing w:line="360" w:lineRule="auto"/>
              <w:jc w:val="center"/>
              <w:rPr>
                <w:rFonts w:asciiTheme="minorEastAsia" w:hAnsiTheme="minorEastAsia"/>
                <w:color w:val="000000"/>
                <w:sz w:val="24"/>
                <w:szCs w:val="24"/>
              </w:rPr>
            </w:pPr>
            <w:r w:rsidRPr="00401B11">
              <w:rPr>
                <w:rFonts w:asciiTheme="minorEastAsia" w:hAnsiTheme="minorEastAsia"/>
                <w:color w:val="000000"/>
                <w:sz w:val="24"/>
                <w:szCs w:val="24"/>
              </w:rPr>
              <w:t>截止收益分配基准日的相关指标</w:t>
            </w:r>
          </w:p>
        </w:tc>
        <w:tc>
          <w:tcPr>
            <w:tcW w:w="2977" w:type="dxa"/>
          </w:tcPr>
          <w:p w:rsidR="006F611B" w:rsidRPr="00401B11" w:rsidRDefault="006F611B"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基准日基金份额净值（单位：</w:t>
            </w:r>
            <w:r w:rsidRPr="00401B11">
              <w:rPr>
                <w:rFonts w:asciiTheme="minorEastAsia" w:hAnsiTheme="minorEastAsia" w:hint="eastAsia"/>
                <w:color w:val="000000"/>
                <w:sz w:val="24"/>
                <w:szCs w:val="24"/>
              </w:rPr>
              <w:t>人民币元</w:t>
            </w:r>
            <w:r w:rsidRPr="00401B11">
              <w:rPr>
                <w:rFonts w:asciiTheme="minorEastAsia" w:hAnsiTheme="minorEastAsia"/>
                <w:color w:val="000000"/>
                <w:sz w:val="24"/>
                <w:szCs w:val="24"/>
              </w:rPr>
              <w:t xml:space="preserve"> ）</w:t>
            </w:r>
          </w:p>
        </w:tc>
        <w:tc>
          <w:tcPr>
            <w:tcW w:w="4536" w:type="dxa"/>
            <w:vAlign w:val="center"/>
          </w:tcPr>
          <w:p w:rsidR="006F611B" w:rsidRPr="00401B11" w:rsidRDefault="00CB3B21" w:rsidP="00401B11">
            <w:pPr>
              <w:adjustRightInd w:val="0"/>
              <w:snapToGrid w:val="0"/>
              <w:spacing w:line="360" w:lineRule="auto"/>
              <w:jc w:val="center"/>
              <w:rPr>
                <w:rFonts w:asciiTheme="minorEastAsia" w:hAnsiTheme="minorEastAsia"/>
                <w:color w:val="000000"/>
                <w:sz w:val="24"/>
                <w:szCs w:val="24"/>
              </w:rPr>
            </w:pPr>
            <w:r w:rsidRPr="00CB3B21">
              <w:rPr>
                <w:rFonts w:asciiTheme="minorEastAsia" w:hAnsiTheme="minorEastAsia"/>
                <w:color w:val="000000"/>
                <w:sz w:val="24"/>
                <w:szCs w:val="24"/>
              </w:rPr>
              <w:t xml:space="preserve">1.0420  </w:t>
            </w:r>
          </w:p>
        </w:tc>
      </w:tr>
      <w:tr w:rsidR="006F611B" w:rsidRPr="00401B11" w:rsidTr="00401B11">
        <w:trPr>
          <w:jc w:val="center"/>
        </w:trPr>
        <w:tc>
          <w:tcPr>
            <w:tcW w:w="1413" w:type="dxa"/>
            <w:vMerge/>
          </w:tcPr>
          <w:p w:rsidR="006F611B" w:rsidRPr="00401B11" w:rsidRDefault="006F611B" w:rsidP="00401B11">
            <w:pPr>
              <w:adjustRightInd w:val="0"/>
              <w:snapToGrid w:val="0"/>
              <w:spacing w:line="360" w:lineRule="auto"/>
              <w:rPr>
                <w:rFonts w:asciiTheme="minorEastAsia" w:hAnsiTheme="minorEastAsia"/>
                <w:color w:val="000000"/>
                <w:sz w:val="24"/>
                <w:szCs w:val="24"/>
              </w:rPr>
            </w:pPr>
          </w:p>
        </w:tc>
        <w:tc>
          <w:tcPr>
            <w:tcW w:w="2977" w:type="dxa"/>
          </w:tcPr>
          <w:p w:rsidR="006F611B" w:rsidRPr="00401B11" w:rsidRDefault="006F611B"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基准日基金可供分配利润（单位：</w:t>
            </w:r>
            <w:r w:rsidRPr="00401B11">
              <w:rPr>
                <w:rFonts w:asciiTheme="minorEastAsia" w:hAnsiTheme="minorEastAsia" w:hint="eastAsia"/>
                <w:color w:val="000000"/>
                <w:sz w:val="24"/>
                <w:szCs w:val="24"/>
              </w:rPr>
              <w:t>人民币元</w:t>
            </w:r>
            <w:r w:rsidRPr="00401B11">
              <w:rPr>
                <w:rFonts w:asciiTheme="minorEastAsia" w:hAnsiTheme="minorEastAsia"/>
                <w:color w:val="000000"/>
                <w:sz w:val="24"/>
                <w:szCs w:val="24"/>
              </w:rPr>
              <w:t>）</w:t>
            </w:r>
          </w:p>
        </w:tc>
        <w:tc>
          <w:tcPr>
            <w:tcW w:w="4536" w:type="dxa"/>
            <w:vAlign w:val="center"/>
          </w:tcPr>
          <w:p w:rsidR="006F611B" w:rsidRPr="00401B11" w:rsidRDefault="00CB3B21" w:rsidP="00401B11">
            <w:pPr>
              <w:adjustRightInd w:val="0"/>
              <w:snapToGrid w:val="0"/>
              <w:spacing w:line="360" w:lineRule="auto"/>
              <w:jc w:val="center"/>
              <w:rPr>
                <w:rFonts w:asciiTheme="minorEastAsia" w:hAnsiTheme="minorEastAsia"/>
                <w:color w:val="000000"/>
                <w:sz w:val="24"/>
                <w:szCs w:val="24"/>
              </w:rPr>
            </w:pPr>
            <w:r w:rsidRPr="00CB3B21">
              <w:rPr>
                <w:rFonts w:asciiTheme="minorEastAsia" w:hAnsiTheme="minorEastAsia"/>
                <w:color w:val="000000"/>
                <w:sz w:val="24"/>
                <w:szCs w:val="24"/>
              </w:rPr>
              <w:t>34,019,201.13</w:t>
            </w:r>
          </w:p>
        </w:tc>
      </w:tr>
      <w:tr w:rsidR="006F611B" w:rsidRPr="00401B11" w:rsidTr="00401B11">
        <w:trPr>
          <w:jc w:val="center"/>
        </w:trPr>
        <w:tc>
          <w:tcPr>
            <w:tcW w:w="1413" w:type="dxa"/>
            <w:vMerge/>
          </w:tcPr>
          <w:p w:rsidR="006F611B" w:rsidRPr="00401B11" w:rsidRDefault="006F611B" w:rsidP="00401B11">
            <w:pPr>
              <w:adjustRightInd w:val="0"/>
              <w:snapToGrid w:val="0"/>
              <w:spacing w:line="360" w:lineRule="auto"/>
              <w:rPr>
                <w:rFonts w:asciiTheme="minorEastAsia" w:hAnsiTheme="minorEastAsia"/>
                <w:color w:val="000000"/>
                <w:sz w:val="24"/>
                <w:szCs w:val="24"/>
              </w:rPr>
            </w:pPr>
          </w:p>
        </w:tc>
        <w:tc>
          <w:tcPr>
            <w:tcW w:w="2977" w:type="dxa"/>
          </w:tcPr>
          <w:p w:rsidR="006F611B" w:rsidRPr="00401B11" w:rsidRDefault="006F611B"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截止基准日按照基金合同</w:t>
            </w:r>
            <w:r w:rsidRPr="00401B11">
              <w:rPr>
                <w:rFonts w:asciiTheme="minorEastAsia" w:hAnsiTheme="minorEastAsia"/>
                <w:color w:val="000000"/>
                <w:sz w:val="24"/>
                <w:szCs w:val="24"/>
              </w:rPr>
              <w:lastRenderedPageBreak/>
              <w:t>约定的分红比例计算的应分配金额（单位：</w:t>
            </w:r>
            <w:r w:rsidRPr="00401B11">
              <w:rPr>
                <w:rFonts w:asciiTheme="minorEastAsia" w:hAnsiTheme="minorEastAsia" w:hint="eastAsia"/>
                <w:color w:val="000000"/>
                <w:sz w:val="24"/>
                <w:szCs w:val="24"/>
              </w:rPr>
              <w:t>人民币元</w:t>
            </w:r>
            <w:r w:rsidRPr="00401B11">
              <w:rPr>
                <w:rFonts w:asciiTheme="minorEastAsia" w:hAnsiTheme="minorEastAsia"/>
                <w:color w:val="000000"/>
                <w:sz w:val="24"/>
                <w:szCs w:val="24"/>
              </w:rPr>
              <w:t>）</w:t>
            </w:r>
          </w:p>
        </w:tc>
        <w:tc>
          <w:tcPr>
            <w:tcW w:w="4536" w:type="dxa"/>
            <w:vAlign w:val="center"/>
          </w:tcPr>
          <w:p w:rsidR="006F611B" w:rsidRPr="00401B11" w:rsidRDefault="006F611B" w:rsidP="00401B11">
            <w:pPr>
              <w:adjustRightInd w:val="0"/>
              <w:snapToGrid w:val="0"/>
              <w:spacing w:line="360" w:lineRule="auto"/>
              <w:jc w:val="center"/>
              <w:rPr>
                <w:rFonts w:asciiTheme="minorEastAsia" w:hAnsiTheme="minorEastAsia"/>
                <w:color w:val="000000"/>
                <w:sz w:val="24"/>
                <w:szCs w:val="24"/>
              </w:rPr>
            </w:pPr>
            <w:r w:rsidRPr="00401B11">
              <w:rPr>
                <w:rFonts w:asciiTheme="minorEastAsia" w:hAnsiTheme="minorEastAsia" w:hint="eastAsia"/>
                <w:color w:val="000000"/>
                <w:sz w:val="24"/>
                <w:szCs w:val="24"/>
              </w:rPr>
              <w:lastRenderedPageBreak/>
              <w:t>－</w:t>
            </w:r>
          </w:p>
        </w:tc>
      </w:tr>
      <w:tr w:rsidR="006F611B" w:rsidRPr="00401B11" w:rsidTr="00401B11">
        <w:trPr>
          <w:jc w:val="center"/>
        </w:trPr>
        <w:tc>
          <w:tcPr>
            <w:tcW w:w="4390" w:type="dxa"/>
            <w:gridSpan w:val="2"/>
          </w:tcPr>
          <w:p w:rsidR="006F611B" w:rsidRPr="00401B11" w:rsidRDefault="006F611B"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lastRenderedPageBreak/>
              <w:t>本次分红方案（单位：元/10份基金份额）</w:t>
            </w:r>
          </w:p>
        </w:tc>
        <w:tc>
          <w:tcPr>
            <w:tcW w:w="4536" w:type="dxa"/>
          </w:tcPr>
          <w:p w:rsidR="006F611B" w:rsidRPr="00401B11" w:rsidRDefault="006F611B" w:rsidP="00401B11">
            <w:pPr>
              <w:adjustRightInd w:val="0"/>
              <w:snapToGrid w:val="0"/>
              <w:spacing w:line="360" w:lineRule="auto"/>
              <w:jc w:val="center"/>
              <w:rPr>
                <w:rFonts w:asciiTheme="minorEastAsia" w:hAnsiTheme="minorEastAsia"/>
                <w:color w:val="000000"/>
                <w:sz w:val="24"/>
                <w:szCs w:val="24"/>
              </w:rPr>
            </w:pPr>
            <w:r w:rsidRPr="00401B11">
              <w:rPr>
                <w:rFonts w:asciiTheme="minorEastAsia" w:hAnsiTheme="minorEastAsia" w:hint="eastAsia"/>
                <w:color w:val="000000"/>
                <w:sz w:val="24"/>
                <w:szCs w:val="24"/>
              </w:rPr>
              <w:t>0.</w:t>
            </w:r>
            <w:r w:rsidR="00CB3B21">
              <w:rPr>
                <w:rFonts w:asciiTheme="minorEastAsia" w:hAnsiTheme="minorEastAsia"/>
                <w:color w:val="000000"/>
                <w:sz w:val="24"/>
                <w:szCs w:val="24"/>
              </w:rPr>
              <w:t>23</w:t>
            </w:r>
          </w:p>
        </w:tc>
      </w:tr>
      <w:tr w:rsidR="006F611B" w:rsidRPr="00401B11" w:rsidTr="00401B11">
        <w:trPr>
          <w:jc w:val="center"/>
        </w:trPr>
        <w:tc>
          <w:tcPr>
            <w:tcW w:w="4390" w:type="dxa"/>
            <w:gridSpan w:val="2"/>
            <w:vAlign w:val="center"/>
          </w:tcPr>
          <w:p w:rsidR="006F611B" w:rsidRPr="00401B11" w:rsidRDefault="006F611B"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有关年度分红次数的说明</w:t>
            </w:r>
          </w:p>
        </w:tc>
        <w:tc>
          <w:tcPr>
            <w:tcW w:w="4536" w:type="dxa"/>
            <w:vAlign w:val="center"/>
          </w:tcPr>
          <w:p w:rsidR="006F611B" w:rsidRPr="00401B11" w:rsidRDefault="006F611B" w:rsidP="00401B11">
            <w:pPr>
              <w:adjustRightInd w:val="0"/>
              <w:snapToGrid w:val="0"/>
              <w:spacing w:line="360" w:lineRule="auto"/>
              <w:jc w:val="center"/>
              <w:rPr>
                <w:rFonts w:asciiTheme="minorEastAsia" w:hAnsiTheme="minorEastAsia"/>
                <w:color w:val="000000"/>
                <w:sz w:val="24"/>
                <w:szCs w:val="24"/>
              </w:rPr>
            </w:pPr>
            <w:r w:rsidRPr="00401B11">
              <w:rPr>
                <w:rFonts w:asciiTheme="minorEastAsia" w:hAnsiTheme="minorEastAsia"/>
                <w:color w:val="000000"/>
                <w:sz w:val="24"/>
                <w:szCs w:val="24"/>
              </w:rPr>
              <w:t>202</w:t>
            </w:r>
            <w:r w:rsidR="00CB3B21">
              <w:rPr>
                <w:rFonts w:asciiTheme="minorEastAsia" w:hAnsiTheme="minorEastAsia"/>
                <w:color w:val="000000"/>
                <w:sz w:val="24"/>
                <w:szCs w:val="24"/>
              </w:rPr>
              <w:t>4</w:t>
            </w:r>
            <w:r w:rsidRPr="00401B11">
              <w:rPr>
                <w:rFonts w:asciiTheme="minorEastAsia" w:hAnsiTheme="minorEastAsia"/>
                <w:color w:val="000000"/>
                <w:sz w:val="24"/>
                <w:szCs w:val="24"/>
              </w:rPr>
              <w:t>年度第</w:t>
            </w:r>
            <w:r w:rsidR="00CB3B21">
              <w:rPr>
                <w:rFonts w:asciiTheme="minorEastAsia" w:hAnsiTheme="minorEastAsia"/>
                <w:color w:val="000000"/>
                <w:sz w:val="24"/>
                <w:szCs w:val="24"/>
              </w:rPr>
              <w:t>1</w:t>
            </w:r>
            <w:r w:rsidRPr="00401B11">
              <w:rPr>
                <w:rFonts w:asciiTheme="minorEastAsia" w:hAnsiTheme="minorEastAsia"/>
                <w:color w:val="000000"/>
                <w:sz w:val="24"/>
                <w:szCs w:val="24"/>
              </w:rPr>
              <w:t>次</w:t>
            </w:r>
          </w:p>
        </w:tc>
      </w:tr>
    </w:tbl>
    <w:p w:rsidR="00BD01F8" w:rsidRPr="00401B11" w:rsidRDefault="00BD01F8"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注：</w:t>
      </w:r>
      <w:r w:rsidR="006F611B" w:rsidRPr="00401B11">
        <w:rPr>
          <w:rFonts w:asciiTheme="minorEastAsia" w:hAnsiTheme="minorEastAsia"/>
          <w:color w:val="000000"/>
          <w:sz w:val="24"/>
          <w:szCs w:val="24"/>
        </w:rPr>
        <w:t>基金收益分配后基金份额净值不能低于面值；即基金收益分配基准日的基金份额净值减去每单位基金份额收益分配金额后不能低于面值。本基金本次分红符合基金合同相关规定。</w:t>
      </w:r>
    </w:p>
    <w:p w:rsidR="00BD01F8" w:rsidRPr="00401B11" w:rsidRDefault="00BD01F8" w:rsidP="00401B11">
      <w:pPr>
        <w:pStyle w:val="2"/>
        <w:adjustRightInd w:val="0"/>
        <w:snapToGrid w:val="0"/>
        <w:spacing w:line="360" w:lineRule="auto"/>
        <w:rPr>
          <w:rFonts w:asciiTheme="minorEastAsia" w:eastAsiaTheme="minorEastAsia" w:hAnsiTheme="minorEastAsia"/>
          <w:color w:val="000000"/>
          <w:sz w:val="24"/>
          <w:szCs w:val="24"/>
        </w:rPr>
      </w:pPr>
      <w:bookmarkStart w:id="1" w:name="_Toc275961419"/>
      <w:r w:rsidRPr="00401B11">
        <w:rPr>
          <w:rFonts w:asciiTheme="minorEastAsia" w:eastAsiaTheme="minorEastAsia" w:hAnsiTheme="minorEastAsia"/>
          <w:color w:val="000000"/>
          <w:sz w:val="24"/>
          <w:szCs w:val="24"/>
        </w:rPr>
        <w:t>2 与分红相关的其他信息</w:t>
      </w:r>
      <w:bookmarkEnd w:id="1"/>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6405"/>
      </w:tblGrid>
      <w:tr w:rsidR="003630B4" w:rsidRPr="00401B11" w:rsidTr="008462E8">
        <w:trPr>
          <w:trHeight w:val="511"/>
          <w:jc w:val="center"/>
        </w:trPr>
        <w:tc>
          <w:tcPr>
            <w:tcW w:w="2405" w:type="dxa"/>
            <w:vAlign w:val="center"/>
          </w:tcPr>
          <w:p w:rsidR="003630B4" w:rsidRPr="00401B11" w:rsidRDefault="003630B4" w:rsidP="003630B4">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权益登记日</w:t>
            </w:r>
          </w:p>
        </w:tc>
        <w:tc>
          <w:tcPr>
            <w:tcW w:w="6405" w:type="dxa"/>
          </w:tcPr>
          <w:p w:rsidR="003630B4" w:rsidRPr="003630B4" w:rsidRDefault="0030192D" w:rsidP="003630B4">
            <w:pPr>
              <w:adjustRightInd w:val="0"/>
              <w:snapToGrid w:val="0"/>
              <w:spacing w:line="360" w:lineRule="auto"/>
              <w:rPr>
                <w:rFonts w:asciiTheme="minorEastAsia" w:hAnsiTheme="minorEastAsia"/>
                <w:color w:val="000000"/>
                <w:sz w:val="24"/>
                <w:szCs w:val="24"/>
              </w:rPr>
            </w:pPr>
            <w:r>
              <w:rPr>
                <w:rFonts w:asciiTheme="minorEastAsia" w:hAnsiTheme="minorEastAsia"/>
                <w:color w:val="000000"/>
                <w:sz w:val="24"/>
                <w:szCs w:val="24"/>
              </w:rPr>
              <w:t>2024</w:t>
            </w:r>
            <w:r w:rsidR="003630B4" w:rsidRPr="003630B4">
              <w:rPr>
                <w:rFonts w:asciiTheme="minorEastAsia" w:hAnsiTheme="minorEastAsia"/>
                <w:color w:val="000000"/>
                <w:sz w:val="24"/>
                <w:szCs w:val="24"/>
              </w:rPr>
              <w:t>年</w:t>
            </w:r>
            <w:r>
              <w:rPr>
                <w:rFonts w:asciiTheme="minorEastAsia" w:hAnsiTheme="minorEastAsia"/>
                <w:color w:val="000000"/>
                <w:sz w:val="24"/>
                <w:szCs w:val="24"/>
              </w:rPr>
              <w:t>6</w:t>
            </w:r>
            <w:r w:rsidR="003630B4" w:rsidRPr="003630B4">
              <w:rPr>
                <w:rFonts w:asciiTheme="minorEastAsia" w:hAnsiTheme="minorEastAsia"/>
                <w:color w:val="000000"/>
                <w:sz w:val="24"/>
                <w:szCs w:val="24"/>
              </w:rPr>
              <w:t>月</w:t>
            </w:r>
            <w:r>
              <w:rPr>
                <w:rFonts w:asciiTheme="minorEastAsia" w:hAnsiTheme="minorEastAsia"/>
                <w:color w:val="000000"/>
                <w:sz w:val="24"/>
                <w:szCs w:val="24"/>
              </w:rPr>
              <w:t>12</w:t>
            </w:r>
            <w:r w:rsidR="003630B4" w:rsidRPr="003630B4">
              <w:rPr>
                <w:rFonts w:asciiTheme="minorEastAsia" w:hAnsiTheme="minorEastAsia"/>
                <w:color w:val="000000"/>
                <w:sz w:val="24"/>
                <w:szCs w:val="24"/>
              </w:rPr>
              <w:t>日</w:t>
            </w:r>
          </w:p>
        </w:tc>
      </w:tr>
      <w:tr w:rsidR="003630B4" w:rsidRPr="00401B11" w:rsidTr="008462E8">
        <w:trPr>
          <w:jc w:val="center"/>
        </w:trPr>
        <w:tc>
          <w:tcPr>
            <w:tcW w:w="2405" w:type="dxa"/>
            <w:vAlign w:val="center"/>
          </w:tcPr>
          <w:p w:rsidR="003630B4" w:rsidRPr="00401B11" w:rsidRDefault="003630B4" w:rsidP="003630B4">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除息日</w:t>
            </w:r>
          </w:p>
        </w:tc>
        <w:tc>
          <w:tcPr>
            <w:tcW w:w="6405" w:type="dxa"/>
          </w:tcPr>
          <w:p w:rsidR="003630B4" w:rsidRPr="003630B4" w:rsidRDefault="0030192D" w:rsidP="003630B4">
            <w:pPr>
              <w:adjustRightInd w:val="0"/>
              <w:snapToGrid w:val="0"/>
              <w:spacing w:line="360" w:lineRule="auto"/>
              <w:rPr>
                <w:rFonts w:asciiTheme="minorEastAsia" w:hAnsiTheme="minorEastAsia"/>
                <w:color w:val="000000"/>
                <w:sz w:val="24"/>
                <w:szCs w:val="24"/>
              </w:rPr>
            </w:pPr>
            <w:r>
              <w:rPr>
                <w:rFonts w:asciiTheme="minorEastAsia" w:hAnsiTheme="minorEastAsia"/>
                <w:color w:val="000000"/>
                <w:sz w:val="24"/>
                <w:szCs w:val="24"/>
              </w:rPr>
              <w:t>2024</w:t>
            </w:r>
            <w:r w:rsidRPr="003630B4">
              <w:rPr>
                <w:rFonts w:asciiTheme="minorEastAsia" w:hAnsiTheme="minorEastAsia"/>
                <w:color w:val="000000"/>
                <w:sz w:val="24"/>
                <w:szCs w:val="24"/>
              </w:rPr>
              <w:t>年</w:t>
            </w:r>
            <w:r>
              <w:rPr>
                <w:rFonts w:asciiTheme="minorEastAsia" w:hAnsiTheme="minorEastAsia"/>
                <w:color w:val="000000"/>
                <w:sz w:val="24"/>
                <w:szCs w:val="24"/>
              </w:rPr>
              <w:t>6</w:t>
            </w:r>
            <w:r w:rsidRPr="003630B4">
              <w:rPr>
                <w:rFonts w:asciiTheme="minorEastAsia" w:hAnsiTheme="minorEastAsia"/>
                <w:color w:val="000000"/>
                <w:sz w:val="24"/>
                <w:szCs w:val="24"/>
              </w:rPr>
              <w:t>月</w:t>
            </w:r>
            <w:r>
              <w:rPr>
                <w:rFonts w:asciiTheme="minorEastAsia" w:hAnsiTheme="minorEastAsia"/>
                <w:color w:val="000000"/>
                <w:sz w:val="24"/>
                <w:szCs w:val="24"/>
              </w:rPr>
              <w:t>12</w:t>
            </w:r>
            <w:r w:rsidRPr="003630B4">
              <w:rPr>
                <w:rFonts w:asciiTheme="minorEastAsia" w:hAnsiTheme="minorEastAsia"/>
                <w:color w:val="000000"/>
                <w:sz w:val="24"/>
                <w:szCs w:val="24"/>
              </w:rPr>
              <w:t>日</w:t>
            </w:r>
          </w:p>
        </w:tc>
      </w:tr>
      <w:tr w:rsidR="003630B4" w:rsidRPr="00401B11" w:rsidTr="008462E8">
        <w:trPr>
          <w:jc w:val="center"/>
        </w:trPr>
        <w:tc>
          <w:tcPr>
            <w:tcW w:w="2405" w:type="dxa"/>
            <w:vAlign w:val="center"/>
          </w:tcPr>
          <w:p w:rsidR="003630B4" w:rsidRPr="00401B11" w:rsidRDefault="003630B4" w:rsidP="003630B4">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现金红利发放日</w:t>
            </w:r>
          </w:p>
        </w:tc>
        <w:tc>
          <w:tcPr>
            <w:tcW w:w="6405" w:type="dxa"/>
          </w:tcPr>
          <w:p w:rsidR="003630B4" w:rsidRPr="003630B4" w:rsidRDefault="0030192D" w:rsidP="0030192D">
            <w:pPr>
              <w:adjustRightInd w:val="0"/>
              <w:snapToGrid w:val="0"/>
              <w:spacing w:line="360" w:lineRule="auto"/>
              <w:rPr>
                <w:rFonts w:asciiTheme="minorEastAsia" w:hAnsiTheme="minorEastAsia"/>
                <w:color w:val="000000"/>
                <w:sz w:val="24"/>
                <w:szCs w:val="24"/>
              </w:rPr>
            </w:pPr>
            <w:r>
              <w:rPr>
                <w:rFonts w:asciiTheme="minorEastAsia" w:hAnsiTheme="minorEastAsia"/>
                <w:color w:val="000000"/>
                <w:sz w:val="24"/>
                <w:szCs w:val="24"/>
              </w:rPr>
              <w:t>2024</w:t>
            </w:r>
            <w:r w:rsidRPr="003630B4">
              <w:rPr>
                <w:rFonts w:asciiTheme="minorEastAsia" w:hAnsiTheme="minorEastAsia"/>
                <w:color w:val="000000"/>
                <w:sz w:val="24"/>
                <w:szCs w:val="24"/>
              </w:rPr>
              <w:t>年</w:t>
            </w:r>
            <w:r>
              <w:rPr>
                <w:rFonts w:asciiTheme="minorEastAsia" w:hAnsiTheme="minorEastAsia"/>
                <w:color w:val="000000"/>
                <w:sz w:val="24"/>
                <w:szCs w:val="24"/>
              </w:rPr>
              <w:t>6</w:t>
            </w:r>
            <w:r w:rsidRPr="003630B4">
              <w:rPr>
                <w:rFonts w:asciiTheme="minorEastAsia" w:hAnsiTheme="minorEastAsia"/>
                <w:color w:val="000000"/>
                <w:sz w:val="24"/>
                <w:szCs w:val="24"/>
              </w:rPr>
              <w:t>月</w:t>
            </w:r>
            <w:r>
              <w:rPr>
                <w:rFonts w:asciiTheme="minorEastAsia" w:hAnsiTheme="minorEastAsia"/>
                <w:color w:val="000000"/>
                <w:sz w:val="24"/>
                <w:szCs w:val="24"/>
              </w:rPr>
              <w:t>13</w:t>
            </w:r>
            <w:r w:rsidRPr="003630B4">
              <w:rPr>
                <w:rFonts w:asciiTheme="minorEastAsia" w:hAnsiTheme="minorEastAsia"/>
                <w:color w:val="000000"/>
                <w:sz w:val="24"/>
                <w:szCs w:val="24"/>
              </w:rPr>
              <w:t>日</w:t>
            </w:r>
          </w:p>
        </w:tc>
      </w:tr>
      <w:tr w:rsidR="00DA64BB" w:rsidRPr="00401B11" w:rsidTr="00401B11">
        <w:trPr>
          <w:trHeight w:val="413"/>
          <w:jc w:val="center"/>
        </w:trPr>
        <w:tc>
          <w:tcPr>
            <w:tcW w:w="2405" w:type="dxa"/>
            <w:vAlign w:val="center"/>
          </w:tcPr>
          <w:p w:rsidR="00DA64BB" w:rsidRPr="00401B11" w:rsidRDefault="00DA64BB"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分红对象</w:t>
            </w:r>
          </w:p>
        </w:tc>
        <w:tc>
          <w:tcPr>
            <w:tcW w:w="6405" w:type="dxa"/>
            <w:vAlign w:val="center"/>
          </w:tcPr>
          <w:p w:rsidR="00DA64BB" w:rsidRPr="00401B11" w:rsidRDefault="00DA64BB"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权益登记日在注册登记机构平安基金管理有限公司登记在册的本基金的全体基金份额持有人</w:t>
            </w:r>
          </w:p>
        </w:tc>
      </w:tr>
      <w:tr w:rsidR="00633D30" w:rsidRPr="00401B11" w:rsidTr="00401B11">
        <w:trPr>
          <w:jc w:val="center"/>
        </w:trPr>
        <w:tc>
          <w:tcPr>
            <w:tcW w:w="2405" w:type="dxa"/>
            <w:vAlign w:val="center"/>
          </w:tcPr>
          <w:p w:rsidR="00633D30" w:rsidRPr="00401B11" w:rsidRDefault="00633D30"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红利再投资相关事项的说明</w:t>
            </w:r>
          </w:p>
        </w:tc>
        <w:tc>
          <w:tcPr>
            <w:tcW w:w="6405" w:type="dxa"/>
            <w:vAlign w:val="center"/>
          </w:tcPr>
          <w:p w:rsidR="00633D30" w:rsidRPr="00401B11" w:rsidRDefault="003630B4" w:rsidP="00401B11">
            <w:pPr>
              <w:pStyle w:val="TableParagraph"/>
              <w:adjustRightInd w:val="0"/>
              <w:snapToGrid w:val="0"/>
              <w:spacing w:before="199" w:line="360" w:lineRule="auto"/>
              <w:ind w:left="108" w:right="92"/>
              <w:jc w:val="both"/>
              <w:rPr>
                <w:rFonts w:asciiTheme="minorEastAsia" w:eastAsiaTheme="minorEastAsia" w:hAnsiTheme="minorEastAsia"/>
                <w:sz w:val="24"/>
                <w:szCs w:val="24"/>
              </w:rPr>
            </w:pPr>
            <w:r w:rsidRPr="006F611B">
              <w:rPr>
                <w:color w:val="000000"/>
                <w:sz w:val="24"/>
              </w:rPr>
              <w:t>对于选择红利再投资方式的投资者，将以</w:t>
            </w:r>
            <w:r w:rsidR="0030192D">
              <w:rPr>
                <w:rFonts w:asciiTheme="minorEastAsia" w:hAnsiTheme="minorEastAsia"/>
                <w:color w:val="000000"/>
                <w:sz w:val="24"/>
                <w:szCs w:val="24"/>
              </w:rPr>
              <w:t>2024</w:t>
            </w:r>
            <w:r w:rsidR="0030192D" w:rsidRPr="003630B4">
              <w:rPr>
                <w:rFonts w:asciiTheme="minorEastAsia" w:hAnsiTheme="minorEastAsia"/>
                <w:color w:val="000000"/>
                <w:sz w:val="24"/>
                <w:szCs w:val="24"/>
              </w:rPr>
              <w:t>年</w:t>
            </w:r>
            <w:r w:rsidR="0030192D">
              <w:rPr>
                <w:rFonts w:asciiTheme="minorEastAsia" w:hAnsiTheme="minorEastAsia"/>
                <w:color w:val="000000"/>
                <w:sz w:val="24"/>
                <w:szCs w:val="24"/>
              </w:rPr>
              <w:t>6</w:t>
            </w:r>
            <w:r w:rsidR="0030192D" w:rsidRPr="003630B4">
              <w:rPr>
                <w:rFonts w:asciiTheme="minorEastAsia" w:hAnsiTheme="minorEastAsia"/>
                <w:color w:val="000000"/>
                <w:sz w:val="24"/>
                <w:szCs w:val="24"/>
              </w:rPr>
              <w:t>月</w:t>
            </w:r>
            <w:r w:rsidR="0030192D">
              <w:rPr>
                <w:rFonts w:asciiTheme="minorEastAsia" w:hAnsiTheme="minorEastAsia"/>
                <w:color w:val="000000"/>
                <w:sz w:val="24"/>
                <w:szCs w:val="24"/>
              </w:rPr>
              <w:t>12</w:t>
            </w:r>
            <w:r w:rsidR="0030192D" w:rsidRPr="003630B4">
              <w:rPr>
                <w:rFonts w:asciiTheme="minorEastAsia" w:hAnsiTheme="minorEastAsia"/>
                <w:color w:val="000000"/>
                <w:sz w:val="24"/>
                <w:szCs w:val="24"/>
              </w:rPr>
              <w:t>日</w:t>
            </w:r>
            <w:r w:rsidRPr="006F611B">
              <w:rPr>
                <w:color w:val="000000"/>
                <w:sz w:val="24"/>
              </w:rPr>
              <w:t>的基金份额净值为计算基准确定再投资份额，本基金注册登记机构将于</w:t>
            </w:r>
            <w:r w:rsidR="0030192D">
              <w:rPr>
                <w:rFonts w:asciiTheme="minorEastAsia" w:hAnsiTheme="minorEastAsia"/>
                <w:color w:val="000000"/>
                <w:sz w:val="24"/>
                <w:szCs w:val="24"/>
              </w:rPr>
              <w:t>2024</w:t>
            </w:r>
            <w:r w:rsidR="0030192D" w:rsidRPr="003630B4">
              <w:rPr>
                <w:rFonts w:asciiTheme="minorEastAsia" w:hAnsiTheme="minorEastAsia"/>
                <w:color w:val="000000"/>
                <w:sz w:val="24"/>
                <w:szCs w:val="24"/>
              </w:rPr>
              <w:t>年</w:t>
            </w:r>
            <w:r w:rsidR="0030192D">
              <w:rPr>
                <w:rFonts w:asciiTheme="minorEastAsia" w:hAnsiTheme="minorEastAsia"/>
                <w:color w:val="000000"/>
                <w:sz w:val="24"/>
                <w:szCs w:val="24"/>
              </w:rPr>
              <w:t>6</w:t>
            </w:r>
            <w:r w:rsidR="0030192D" w:rsidRPr="003630B4">
              <w:rPr>
                <w:rFonts w:asciiTheme="minorEastAsia" w:hAnsiTheme="minorEastAsia"/>
                <w:color w:val="000000"/>
                <w:sz w:val="24"/>
                <w:szCs w:val="24"/>
              </w:rPr>
              <w:t>月</w:t>
            </w:r>
            <w:r w:rsidR="0030192D">
              <w:rPr>
                <w:rFonts w:asciiTheme="minorEastAsia" w:hAnsiTheme="minorEastAsia"/>
                <w:color w:val="000000"/>
                <w:sz w:val="24"/>
                <w:szCs w:val="24"/>
              </w:rPr>
              <w:t>13</w:t>
            </w:r>
            <w:r w:rsidR="0030192D" w:rsidRPr="003630B4">
              <w:rPr>
                <w:rFonts w:asciiTheme="minorEastAsia" w:hAnsiTheme="minorEastAsia"/>
                <w:color w:val="000000"/>
                <w:sz w:val="24"/>
                <w:szCs w:val="24"/>
              </w:rPr>
              <w:t>日</w:t>
            </w:r>
            <w:r w:rsidRPr="006F611B">
              <w:rPr>
                <w:color w:val="000000"/>
                <w:sz w:val="24"/>
              </w:rPr>
              <w:t>对红利再投资的基金份额进行确认。</w:t>
            </w:r>
            <w:r w:rsidR="0030192D">
              <w:rPr>
                <w:rFonts w:asciiTheme="minorEastAsia" w:hAnsiTheme="minorEastAsia"/>
                <w:color w:val="000000"/>
                <w:sz w:val="24"/>
                <w:szCs w:val="24"/>
              </w:rPr>
              <w:t>2024</w:t>
            </w:r>
            <w:r w:rsidR="0030192D" w:rsidRPr="003630B4">
              <w:rPr>
                <w:rFonts w:asciiTheme="minorEastAsia" w:hAnsiTheme="minorEastAsia"/>
                <w:color w:val="000000"/>
                <w:sz w:val="24"/>
                <w:szCs w:val="24"/>
              </w:rPr>
              <w:t>年</w:t>
            </w:r>
            <w:r w:rsidR="0030192D">
              <w:rPr>
                <w:rFonts w:asciiTheme="minorEastAsia" w:hAnsiTheme="minorEastAsia"/>
                <w:color w:val="000000"/>
                <w:sz w:val="24"/>
                <w:szCs w:val="24"/>
              </w:rPr>
              <w:t>6</w:t>
            </w:r>
            <w:r w:rsidR="0030192D" w:rsidRPr="003630B4">
              <w:rPr>
                <w:rFonts w:asciiTheme="minorEastAsia" w:hAnsiTheme="minorEastAsia"/>
                <w:color w:val="000000"/>
                <w:sz w:val="24"/>
                <w:szCs w:val="24"/>
              </w:rPr>
              <w:t>月</w:t>
            </w:r>
            <w:r w:rsidR="0030192D">
              <w:rPr>
                <w:rFonts w:asciiTheme="minorEastAsia" w:hAnsiTheme="minorEastAsia"/>
                <w:color w:val="000000"/>
                <w:sz w:val="24"/>
                <w:szCs w:val="24"/>
              </w:rPr>
              <w:t>14</w:t>
            </w:r>
            <w:r w:rsidR="0030192D" w:rsidRPr="003630B4">
              <w:rPr>
                <w:rFonts w:asciiTheme="minorEastAsia" w:hAnsiTheme="minorEastAsia"/>
                <w:color w:val="000000"/>
                <w:sz w:val="24"/>
                <w:szCs w:val="24"/>
              </w:rPr>
              <w:t>日</w:t>
            </w:r>
            <w:r w:rsidRPr="006F611B">
              <w:rPr>
                <w:color w:val="000000"/>
                <w:sz w:val="24"/>
              </w:rPr>
              <w:t>起，投资者可以查询、赎回红利再投资的份额。</w:t>
            </w:r>
          </w:p>
        </w:tc>
      </w:tr>
      <w:tr w:rsidR="00633D30" w:rsidRPr="00401B11" w:rsidTr="00401B11">
        <w:trPr>
          <w:jc w:val="center"/>
        </w:trPr>
        <w:tc>
          <w:tcPr>
            <w:tcW w:w="2405" w:type="dxa"/>
            <w:vAlign w:val="center"/>
          </w:tcPr>
          <w:p w:rsidR="00633D30" w:rsidRPr="00401B11" w:rsidRDefault="00633D30"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税收相关事项的说明</w:t>
            </w:r>
          </w:p>
        </w:tc>
        <w:tc>
          <w:tcPr>
            <w:tcW w:w="6405" w:type="dxa"/>
            <w:vAlign w:val="center"/>
          </w:tcPr>
          <w:p w:rsidR="00633D30" w:rsidRPr="00401B11" w:rsidRDefault="00633D30"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根据财政部、国家税务总局的财税字〖2002〗128号《关于开放式证券投资基金有关税收问题的通知》，投资者(包括个人和机构投资者)从基金收益分配中取得的收入，暂不征收个人所得税和企业所得税。</w:t>
            </w:r>
          </w:p>
        </w:tc>
      </w:tr>
      <w:tr w:rsidR="00633D30" w:rsidRPr="00401B11" w:rsidTr="00401B11">
        <w:trPr>
          <w:jc w:val="center"/>
        </w:trPr>
        <w:tc>
          <w:tcPr>
            <w:tcW w:w="2405" w:type="dxa"/>
            <w:vAlign w:val="center"/>
          </w:tcPr>
          <w:p w:rsidR="00633D30" w:rsidRPr="00401B11" w:rsidRDefault="00633D30"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费用相关事项的说明</w:t>
            </w:r>
          </w:p>
        </w:tc>
        <w:tc>
          <w:tcPr>
            <w:tcW w:w="6405" w:type="dxa"/>
            <w:vAlign w:val="center"/>
          </w:tcPr>
          <w:p w:rsidR="00633D30" w:rsidRPr="00401B11" w:rsidRDefault="00633D30"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本次分红免收分红手续费和红利再投资费用。选择红利再投资方式的投资者其红利再投资的基金份额免收申购费用。</w:t>
            </w:r>
          </w:p>
        </w:tc>
      </w:tr>
    </w:tbl>
    <w:p w:rsidR="00BD01F8" w:rsidRPr="00401B11" w:rsidRDefault="00BD01F8" w:rsidP="00401B11">
      <w:pPr>
        <w:adjustRightInd w:val="0"/>
        <w:snapToGrid w:val="0"/>
        <w:spacing w:line="360" w:lineRule="auto"/>
        <w:rPr>
          <w:rFonts w:asciiTheme="minorEastAsia" w:hAnsiTheme="minorEastAsia"/>
          <w:color w:val="000000"/>
          <w:sz w:val="24"/>
          <w:szCs w:val="24"/>
        </w:rPr>
      </w:pPr>
      <w:r w:rsidRPr="00401B11">
        <w:rPr>
          <w:rFonts w:asciiTheme="minorEastAsia" w:hAnsiTheme="minorEastAsia"/>
          <w:color w:val="000000"/>
          <w:sz w:val="24"/>
          <w:szCs w:val="24"/>
        </w:rPr>
        <w:t>注：</w:t>
      </w:r>
      <w:r w:rsidR="002665FD" w:rsidRPr="00401B11">
        <w:rPr>
          <w:rFonts w:asciiTheme="minorEastAsia" w:hAnsiTheme="minorEastAsia"/>
          <w:color w:val="000000"/>
          <w:sz w:val="24"/>
          <w:szCs w:val="24"/>
        </w:rPr>
        <w:t xml:space="preserve"> </w:t>
      </w:r>
      <w:r w:rsidR="006F611B" w:rsidRPr="00401B11">
        <w:rPr>
          <w:rFonts w:asciiTheme="minorEastAsia" w:hAnsiTheme="minorEastAsia" w:hint="eastAsia"/>
          <w:color w:val="000000"/>
          <w:sz w:val="24"/>
          <w:szCs w:val="24"/>
        </w:rPr>
        <w:t>选择现金红利方式的投资者的红利款将于</w:t>
      </w:r>
      <w:r w:rsidR="0030192D">
        <w:rPr>
          <w:rFonts w:asciiTheme="minorEastAsia" w:hAnsiTheme="minorEastAsia"/>
          <w:color w:val="000000"/>
          <w:sz w:val="24"/>
          <w:szCs w:val="24"/>
        </w:rPr>
        <w:t>2024</w:t>
      </w:r>
      <w:r w:rsidR="0030192D" w:rsidRPr="003630B4">
        <w:rPr>
          <w:rFonts w:asciiTheme="minorEastAsia" w:hAnsiTheme="minorEastAsia"/>
          <w:color w:val="000000"/>
          <w:sz w:val="24"/>
          <w:szCs w:val="24"/>
        </w:rPr>
        <w:t>年</w:t>
      </w:r>
      <w:r w:rsidR="0030192D">
        <w:rPr>
          <w:rFonts w:asciiTheme="minorEastAsia" w:hAnsiTheme="minorEastAsia"/>
          <w:color w:val="000000"/>
          <w:sz w:val="24"/>
          <w:szCs w:val="24"/>
        </w:rPr>
        <w:t>6</w:t>
      </w:r>
      <w:r w:rsidR="0030192D" w:rsidRPr="003630B4">
        <w:rPr>
          <w:rFonts w:asciiTheme="minorEastAsia" w:hAnsiTheme="minorEastAsia"/>
          <w:color w:val="000000"/>
          <w:sz w:val="24"/>
          <w:szCs w:val="24"/>
        </w:rPr>
        <w:t>月</w:t>
      </w:r>
      <w:r w:rsidR="0030192D">
        <w:rPr>
          <w:rFonts w:asciiTheme="minorEastAsia" w:hAnsiTheme="minorEastAsia"/>
          <w:color w:val="000000"/>
          <w:sz w:val="24"/>
          <w:szCs w:val="24"/>
        </w:rPr>
        <w:t>13</w:t>
      </w:r>
      <w:r w:rsidR="0030192D" w:rsidRPr="003630B4">
        <w:rPr>
          <w:rFonts w:asciiTheme="minorEastAsia" w:hAnsiTheme="minorEastAsia"/>
          <w:color w:val="000000"/>
          <w:sz w:val="24"/>
          <w:szCs w:val="24"/>
        </w:rPr>
        <w:t>日</w:t>
      </w:r>
      <w:r w:rsidR="006F611B" w:rsidRPr="00401B11">
        <w:rPr>
          <w:rFonts w:asciiTheme="minorEastAsia" w:hAnsiTheme="minorEastAsia" w:hint="eastAsia"/>
          <w:color w:val="000000"/>
          <w:sz w:val="24"/>
          <w:szCs w:val="24"/>
        </w:rPr>
        <w:t>自基金托管账户划出。</w:t>
      </w:r>
    </w:p>
    <w:p w:rsidR="00BD01F8" w:rsidRPr="00401B11" w:rsidRDefault="00BD01F8" w:rsidP="00401B11">
      <w:pPr>
        <w:pStyle w:val="2"/>
        <w:adjustRightInd w:val="0"/>
        <w:snapToGrid w:val="0"/>
        <w:spacing w:line="360" w:lineRule="auto"/>
        <w:rPr>
          <w:rFonts w:asciiTheme="minorEastAsia" w:eastAsiaTheme="minorEastAsia" w:hAnsiTheme="minorEastAsia"/>
          <w:color w:val="000000"/>
          <w:sz w:val="24"/>
          <w:szCs w:val="24"/>
        </w:rPr>
      </w:pPr>
      <w:bookmarkStart w:id="2" w:name="_Toc275961420"/>
      <w:r w:rsidRPr="00401B11">
        <w:rPr>
          <w:rFonts w:asciiTheme="minorEastAsia" w:eastAsiaTheme="minorEastAsia" w:hAnsiTheme="minorEastAsia"/>
          <w:color w:val="000000"/>
          <w:sz w:val="24"/>
          <w:szCs w:val="24"/>
        </w:rPr>
        <w:t>3 其他需要提示的事项</w:t>
      </w:r>
      <w:bookmarkEnd w:id="2"/>
    </w:p>
    <w:p w:rsidR="006F611B" w:rsidRPr="00401B11" w:rsidRDefault="006F611B" w:rsidP="00401B11">
      <w:pPr>
        <w:adjustRightInd w:val="0"/>
        <w:snapToGrid w:val="0"/>
        <w:spacing w:line="360" w:lineRule="auto"/>
        <w:ind w:firstLineChars="200" w:firstLine="480"/>
        <w:rPr>
          <w:rFonts w:asciiTheme="minorEastAsia" w:hAnsiTheme="minorEastAsia"/>
          <w:color w:val="000000"/>
          <w:sz w:val="24"/>
          <w:szCs w:val="24"/>
        </w:rPr>
      </w:pPr>
      <w:r w:rsidRPr="00401B11">
        <w:rPr>
          <w:rFonts w:asciiTheme="minorEastAsia" w:hAnsiTheme="minorEastAsia" w:hint="eastAsia"/>
          <w:color w:val="000000"/>
          <w:sz w:val="24"/>
          <w:szCs w:val="24"/>
        </w:rPr>
        <w:t>（1）权益登记日以后（含权益登记日）申请申购、转换转入的基金份额不享有本次分红权益，权益登记日申请赎回、转换转出的基金份额享有本次分红权益。</w:t>
      </w:r>
    </w:p>
    <w:p w:rsidR="006F611B" w:rsidRPr="00401B11" w:rsidRDefault="006F611B" w:rsidP="00401B11">
      <w:pPr>
        <w:adjustRightInd w:val="0"/>
        <w:snapToGrid w:val="0"/>
        <w:spacing w:line="360" w:lineRule="auto"/>
        <w:ind w:firstLineChars="200" w:firstLine="480"/>
        <w:rPr>
          <w:rFonts w:asciiTheme="minorEastAsia" w:hAnsiTheme="minorEastAsia"/>
          <w:color w:val="000000"/>
          <w:sz w:val="24"/>
          <w:szCs w:val="24"/>
        </w:rPr>
      </w:pPr>
      <w:r w:rsidRPr="00401B11">
        <w:rPr>
          <w:rFonts w:asciiTheme="minorEastAsia" w:hAnsiTheme="minorEastAsia" w:hint="eastAsia"/>
          <w:color w:val="000000"/>
          <w:sz w:val="24"/>
          <w:szCs w:val="24"/>
        </w:rPr>
        <w:t>（2）对于未选择具体分红方式的投资者，本基金默认的分红方式为现金分红。本次分红确认的方式按照投资者在权益登记日之前最后一次选择的分红方式为准。</w:t>
      </w:r>
    </w:p>
    <w:p w:rsidR="006F611B" w:rsidRPr="00401B11" w:rsidRDefault="006F611B" w:rsidP="00401B11">
      <w:pPr>
        <w:adjustRightInd w:val="0"/>
        <w:snapToGrid w:val="0"/>
        <w:spacing w:line="360" w:lineRule="auto"/>
        <w:ind w:firstLineChars="200" w:firstLine="480"/>
        <w:rPr>
          <w:rFonts w:asciiTheme="minorEastAsia" w:hAnsiTheme="minorEastAsia"/>
          <w:color w:val="000000"/>
          <w:sz w:val="24"/>
          <w:szCs w:val="24"/>
        </w:rPr>
      </w:pPr>
      <w:r w:rsidRPr="00401B11">
        <w:rPr>
          <w:rFonts w:asciiTheme="minorEastAsia" w:hAnsiTheme="minorEastAsia" w:hint="eastAsia"/>
          <w:color w:val="000000"/>
          <w:sz w:val="24"/>
          <w:szCs w:val="24"/>
        </w:rPr>
        <w:t>（3）持有人可登录本公司的网站或拨打本公司客服电话查询注册登记系统记录的分红方式。投资者如需设置或修改本次分红方式，请务必于权益登记日之前一日的交易时间结束前</w:t>
      </w:r>
      <w:r w:rsidR="000400C6" w:rsidRPr="006F611B">
        <w:rPr>
          <w:rFonts w:hint="eastAsia"/>
          <w:color w:val="000000"/>
          <w:sz w:val="24"/>
        </w:rPr>
        <w:t>（即</w:t>
      </w:r>
      <w:r w:rsidR="0030192D">
        <w:rPr>
          <w:rFonts w:asciiTheme="minorEastAsia" w:hAnsiTheme="minorEastAsia"/>
          <w:color w:val="000000"/>
          <w:sz w:val="24"/>
          <w:szCs w:val="24"/>
        </w:rPr>
        <w:t>2024</w:t>
      </w:r>
      <w:r w:rsidR="0030192D" w:rsidRPr="003630B4">
        <w:rPr>
          <w:rFonts w:asciiTheme="minorEastAsia" w:hAnsiTheme="minorEastAsia"/>
          <w:color w:val="000000"/>
          <w:sz w:val="24"/>
          <w:szCs w:val="24"/>
        </w:rPr>
        <w:t>年</w:t>
      </w:r>
      <w:r w:rsidR="0030192D">
        <w:rPr>
          <w:rFonts w:asciiTheme="minorEastAsia" w:hAnsiTheme="minorEastAsia"/>
          <w:color w:val="000000"/>
          <w:sz w:val="24"/>
          <w:szCs w:val="24"/>
        </w:rPr>
        <w:t>6</w:t>
      </w:r>
      <w:r w:rsidR="0030192D" w:rsidRPr="003630B4">
        <w:rPr>
          <w:rFonts w:asciiTheme="minorEastAsia" w:hAnsiTheme="minorEastAsia"/>
          <w:color w:val="000000"/>
          <w:sz w:val="24"/>
          <w:szCs w:val="24"/>
        </w:rPr>
        <w:t>月</w:t>
      </w:r>
      <w:r w:rsidR="0030192D">
        <w:rPr>
          <w:rFonts w:asciiTheme="minorEastAsia" w:hAnsiTheme="minorEastAsia"/>
          <w:color w:val="000000"/>
          <w:sz w:val="24"/>
          <w:szCs w:val="24"/>
        </w:rPr>
        <w:t>11</w:t>
      </w:r>
      <w:r w:rsidR="0030192D" w:rsidRPr="003630B4">
        <w:rPr>
          <w:rFonts w:asciiTheme="minorEastAsia" w:hAnsiTheme="minorEastAsia"/>
          <w:color w:val="000000"/>
          <w:sz w:val="24"/>
          <w:szCs w:val="24"/>
        </w:rPr>
        <w:t>日</w:t>
      </w:r>
      <w:r w:rsidR="000400C6" w:rsidRPr="006F611B">
        <w:rPr>
          <w:rFonts w:hint="eastAsia"/>
          <w:color w:val="000000"/>
          <w:sz w:val="24"/>
        </w:rPr>
        <w:t>15：00前）</w:t>
      </w:r>
      <w:r w:rsidRPr="00401B11">
        <w:rPr>
          <w:rFonts w:asciiTheme="minorEastAsia" w:hAnsiTheme="minorEastAsia" w:hint="eastAsia"/>
          <w:color w:val="000000"/>
          <w:sz w:val="24"/>
          <w:szCs w:val="24"/>
        </w:rPr>
        <w:t>到销售机构网点或通过销售机构提供的其他非现场交易方式修改分红方式，投资者在权益登记日前一个工作日超过交易时间提交的修改分红方式的申请对本次收益分配无效。</w:t>
      </w:r>
    </w:p>
    <w:p w:rsidR="006F611B" w:rsidRPr="00401B11" w:rsidRDefault="006F611B" w:rsidP="00401B11">
      <w:pPr>
        <w:adjustRightInd w:val="0"/>
        <w:snapToGrid w:val="0"/>
        <w:spacing w:line="360" w:lineRule="auto"/>
        <w:ind w:firstLineChars="200" w:firstLine="480"/>
        <w:rPr>
          <w:rFonts w:asciiTheme="minorEastAsia" w:hAnsiTheme="minorEastAsia"/>
          <w:color w:val="000000"/>
          <w:sz w:val="24"/>
          <w:szCs w:val="24"/>
        </w:rPr>
      </w:pPr>
      <w:r w:rsidRPr="00401B11">
        <w:rPr>
          <w:rFonts w:asciiTheme="minorEastAsia" w:hAnsiTheme="minorEastAsia" w:hint="eastAsia"/>
          <w:color w:val="000000"/>
          <w:sz w:val="24"/>
          <w:szCs w:val="24"/>
        </w:rPr>
        <w:t>权益登记日</w:t>
      </w:r>
      <w:r w:rsidR="000400C6" w:rsidRPr="006F611B">
        <w:rPr>
          <w:rFonts w:hint="eastAsia"/>
          <w:color w:val="000000"/>
          <w:sz w:val="24"/>
        </w:rPr>
        <w:t>（</w:t>
      </w:r>
      <w:r w:rsidR="0030192D">
        <w:rPr>
          <w:rFonts w:asciiTheme="minorEastAsia" w:hAnsiTheme="minorEastAsia"/>
          <w:color w:val="000000"/>
          <w:sz w:val="24"/>
          <w:szCs w:val="24"/>
        </w:rPr>
        <w:t>2024</w:t>
      </w:r>
      <w:r w:rsidR="0030192D" w:rsidRPr="003630B4">
        <w:rPr>
          <w:rFonts w:asciiTheme="minorEastAsia" w:hAnsiTheme="minorEastAsia"/>
          <w:color w:val="000000"/>
          <w:sz w:val="24"/>
          <w:szCs w:val="24"/>
        </w:rPr>
        <w:t>年</w:t>
      </w:r>
      <w:r w:rsidR="0030192D">
        <w:rPr>
          <w:rFonts w:asciiTheme="minorEastAsia" w:hAnsiTheme="minorEastAsia"/>
          <w:color w:val="000000"/>
          <w:sz w:val="24"/>
          <w:szCs w:val="24"/>
        </w:rPr>
        <w:t>6</w:t>
      </w:r>
      <w:r w:rsidR="0030192D" w:rsidRPr="003630B4">
        <w:rPr>
          <w:rFonts w:asciiTheme="minorEastAsia" w:hAnsiTheme="minorEastAsia"/>
          <w:color w:val="000000"/>
          <w:sz w:val="24"/>
          <w:szCs w:val="24"/>
        </w:rPr>
        <w:t>月</w:t>
      </w:r>
      <w:r w:rsidR="0030192D">
        <w:rPr>
          <w:rFonts w:asciiTheme="minorEastAsia" w:hAnsiTheme="minorEastAsia"/>
          <w:color w:val="000000"/>
          <w:sz w:val="24"/>
          <w:szCs w:val="24"/>
        </w:rPr>
        <w:t>12</w:t>
      </w:r>
      <w:r w:rsidR="0030192D" w:rsidRPr="003630B4">
        <w:rPr>
          <w:rFonts w:asciiTheme="minorEastAsia" w:hAnsiTheme="minorEastAsia"/>
          <w:color w:val="000000"/>
          <w:sz w:val="24"/>
          <w:szCs w:val="24"/>
        </w:rPr>
        <w:t>日</w:t>
      </w:r>
      <w:r w:rsidR="000400C6" w:rsidRPr="006F611B">
        <w:rPr>
          <w:rFonts w:hint="eastAsia"/>
          <w:color w:val="000000"/>
          <w:sz w:val="24"/>
        </w:rPr>
        <w:t>）</w:t>
      </w:r>
      <w:r w:rsidRPr="00401B11">
        <w:rPr>
          <w:rFonts w:asciiTheme="minorEastAsia" w:hAnsiTheme="minorEastAsia" w:hint="eastAsia"/>
          <w:color w:val="000000"/>
          <w:sz w:val="24"/>
          <w:szCs w:val="24"/>
        </w:rPr>
        <w:t>注册登记机构可以受理分红方式变更申请，但该申请仅对以后的收益分配有效，而对本次收益分配无效。</w:t>
      </w:r>
    </w:p>
    <w:p w:rsidR="006F611B" w:rsidRPr="00401B11" w:rsidRDefault="006F611B" w:rsidP="00401B11">
      <w:pPr>
        <w:adjustRightInd w:val="0"/>
        <w:snapToGrid w:val="0"/>
        <w:spacing w:line="360" w:lineRule="auto"/>
        <w:ind w:firstLineChars="200" w:firstLine="480"/>
        <w:rPr>
          <w:rFonts w:asciiTheme="minorEastAsia" w:hAnsiTheme="minorEastAsia"/>
          <w:color w:val="000000"/>
          <w:sz w:val="24"/>
          <w:szCs w:val="24"/>
        </w:rPr>
      </w:pPr>
      <w:r w:rsidRPr="00401B11">
        <w:rPr>
          <w:rFonts w:asciiTheme="minorEastAsia" w:hAnsiTheme="minorEastAsia" w:hint="eastAsia"/>
          <w:color w:val="000000"/>
          <w:sz w:val="24"/>
          <w:szCs w:val="24"/>
        </w:rPr>
        <w:t>（4）投资者还可以到本基金的代销机构查询本基金本次分红的有关情况。</w:t>
      </w:r>
    </w:p>
    <w:p w:rsidR="006F611B" w:rsidRPr="00401B11" w:rsidRDefault="006F611B" w:rsidP="00401B11">
      <w:pPr>
        <w:adjustRightInd w:val="0"/>
        <w:snapToGrid w:val="0"/>
        <w:spacing w:line="360" w:lineRule="auto"/>
        <w:ind w:firstLineChars="200" w:firstLine="480"/>
        <w:rPr>
          <w:rFonts w:asciiTheme="minorEastAsia" w:hAnsiTheme="minorEastAsia"/>
          <w:color w:val="000000"/>
          <w:sz w:val="24"/>
          <w:szCs w:val="24"/>
        </w:rPr>
      </w:pPr>
      <w:r w:rsidRPr="00401B11">
        <w:rPr>
          <w:rFonts w:asciiTheme="minorEastAsia" w:hAnsiTheme="minorEastAsia" w:hint="eastAsia"/>
          <w:color w:val="000000"/>
          <w:sz w:val="24"/>
          <w:szCs w:val="24"/>
        </w:rPr>
        <w:t>（5）咨询办法：</w:t>
      </w:r>
    </w:p>
    <w:p w:rsidR="006F611B" w:rsidRPr="00401B11" w:rsidRDefault="006F611B" w:rsidP="00401B11">
      <w:pPr>
        <w:adjustRightInd w:val="0"/>
        <w:snapToGrid w:val="0"/>
        <w:spacing w:line="360" w:lineRule="auto"/>
        <w:ind w:firstLineChars="200" w:firstLine="480"/>
        <w:rPr>
          <w:rFonts w:asciiTheme="minorEastAsia" w:hAnsiTheme="minorEastAsia"/>
          <w:color w:val="000000"/>
          <w:sz w:val="24"/>
          <w:szCs w:val="24"/>
        </w:rPr>
      </w:pPr>
      <w:r w:rsidRPr="00401B11">
        <w:rPr>
          <w:rFonts w:asciiTheme="minorEastAsia" w:hAnsiTheme="minorEastAsia" w:hint="eastAsia"/>
          <w:color w:val="000000"/>
          <w:sz w:val="24"/>
          <w:szCs w:val="24"/>
        </w:rPr>
        <w:t>①登陆本公司网站：www.fund.pingan.com</w:t>
      </w:r>
    </w:p>
    <w:p w:rsidR="006F611B" w:rsidRPr="00401B11" w:rsidRDefault="006F611B" w:rsidP="00401B11">
      <w:pPr>
        <w:adjustRightInd w:val="0"/>
        <w:snapToGrid w:val="0"/>
        <w:spacing w:line="360" w:lineRule="auto"/>
        <w:ind w:firstLineChars="200" w:firstLine="480"/>
        <w:rPr>
          <w:rFonts w:asciiTheme="minorEastAsia" w:hAnsiTheme="minorEastAsia"/>
          <w:color w:val="000000"/>
          <w:sz w:val="24"/>
          <w:szCs w:val="24"/>
        </w:rPr>
      </w:pPr>
      <w:r w:rsidRPr="00401B11">
        <w:rPr>
          <w:rFonts w:asciiTheme="minorEastAsia" w:hAnsiTheme="minorEastAsia" w:hint="eastAsia"/>
          <w:color w:val="000000"/>
          <w:sz w:val="24"/>
          <w:szCs w:val="24"/>
        </w:rPr>
        <w:t>②拨打本公司客户服务热线：400-800-4800</w:t>
      </w:r>
    </w:p>
    <w:p w:rsidR="006F611B" w:rsidRPr="00401B11" w:rsidRDefault="006F611B" w:rsidP="00401B11">
      <w:pPr>
        <w:adjustRightInd w:val="0"/>
        <w:snapToGrid w:val="0"/>
        <w:spacing w:line="360" w:lineRule="auto"/>
        <w:ind w:firstLineChars="200" w:firstLine="480"/>
        <w:rPr>
          <w:rFonts w:asciiTheme="minorEastAsia" w:hAnsiTheme="minorEastAsia"/>
          <w:color w:val="000000"/>
          <w:sz w:val="24"/>
          <w:szCs w:val="24"/>
        </w:rPr>
      </w:pPr>
      <w:r w:rsidRPr="00401B11">
        <w:rPr>
          <w:rFonts w:asciiTheme="minorEastAsia" w:hAnsiTheme="minorEastAsia" w:hint="eastAsia"/>
          <w:color w:val="000000"/>
          <w:sz w:val="24"/>
          <w:szCs w:val="24"/>
        </w:rPr>
        <w:t>③平安基金管理有限公司直销网点及本基金各代销机构的相关网点（详见本基金招募说明书及相关公告）</w:t>
      </w:r>
    </w:p>
    <w:p w:rsidR="006F611B" w:rsidRPr="00401B11" w:rsidRDefault="006F611B" w:rsidP="00401B11">
      <w:pPr>
        <w:adjustRightInd w:val="0"/>
        <w:snapToGrid w:val="0"/>
        <w:spacing w:line="360" w:lineRule="auto"/>
        <w:ind w:firstLineChars="200" w:firstLine="480"/>
        <w:rPr>
          <w:rFonts w:asciiTheme="minorEastAsia" w:hAnsiTheme="minorEastAsia"/>
          <w:color w:val="000000"/>
          <w:sz w:val="24"/>
          <w:szCs w:val="24"/>
        </w:rPr>
      </w:pPr>
      <w:r w:rsidRPr="00401B11">
        <w:rPr>
          <w:rFonts w:asciiTheme="minorEastAsia" w:hAnsiTheme="minorEastAsia" w:hint="eastAsia"/>
          <w:color w:val="000000"/>
          <w:sz w:val="24"/>
          <w:szCs w:val="24"/>
        </w:rPr>
        <w:t>（6）风险提示</w:t>
      </w:r>
    </w:p>
    <w:p w:rsidR="006F611B" w:rsidRPr="00401B11" w:rsidRDefault="006F611B" w:rsidP="00401B11">
      <w:pPr>
        <w:adjustRightInd w:val="0"/>
        <w:snapToGrid w:val="0"/>
        <w:spacing w:line="360" w:lineRule="auto"/>
        <w:ind w:firstLineChars="200" w:firstLine="480"/>
        <w:rPr>
          <w:rFonts w:asciiTheme="minorEastAsia" w:hAnsiTheme="minorEastAsia"/>
          <w:color w:val="000000"/>
          <w:sz w:val="24"/>
          <w:szCs w:val="24"/>
        </w:rPr>
      </w:pPr>
      <w:r w:rsidRPr="00401B11">
        <w:rPr>
          <w:rFonts w:asciiTheme="minorEastAsia" w:hAnsiTheme="minorEastAsia" w:hint="eastAsia"/>
          <w:color w:val="000000"/>
          <w:sz w:val="24"/>
          <w:szCs w:val="24"/>
        </w:rPr>
        <w:t>本公司承诺以诚实信用、勤勉尽责的原则管理和运用基金资产，但不保证基金一定盈利，也不保证最低收益。基金的过往业绩及其净值高低并不预示其未来业绩表现。本公司提醒投资者，投资者投资于基金前应认真阅读本基金的基金合同、招募说明书等文件。敬请投资者注意投资风险。</w:t>
      </w:r>
    </w:p>
    <w:p w:rsidR="006F611B" w:rsidRPr="00401B11" w:rsidRDefault="006F611B" w:rsidP="00401B11">
      <w:pPr>
        <w:adjustRightInd w:val="0"/>
        <w:snapToGrid w:val="0"/>
        <w:spacing w:line="360" w:lineRule="auto"/>
        <w:ind w:firstLineChars="200" w:firstLine="480"/>
        <w:rPr>
          <w:rFonts w:asciiTheme="minorEastAsia" w:hAnsiTheme="minorEastAsia"/>
          <w:color w:val="000000"/>
          <w:sz w:val="24"/>
          <w:szCs w:val="24"/>
        </w:rPr>
      </w:pPr>
      <w:r w:rsidRPr="00401B11">
        <w:rPr>
          <w:rFonts w:asciiTheme="minorEastAsia" w:hAnsiTheme="minorEastAsia" w:hint="eastAsia"/>
          <w:color w:val="000000"/>
          <w:sz w:val="24"/>
          <w:szCs w:val="24"/>
        </w:rPr>
        <w:t>特此公告。</w:t>
      </w:r>
      <w:bookmarkStart w:id="3" w:name="_GoBack"/>
      <w:bookmarkEnd w:id="3"/>
    </w:p>
    <w:p w:rsidR="006F611B" w:rsidRPr="00401B11" w:rsidRDefault="006F611B" w:rsidP="00401B11">
      <w:pPr>
        <w:adjustRightInd w:val="0"/>
        <w:snapToGrid w:val="0"/>
        <w:spacing w:line="360" w:lineRule="auto"/>
        <w:ind w:firstLineChars="200" w:firstLine="480"/>
        <w:jc w:val="right"/>
        <w:rPr>
          <w:rFonts w:asciiTheme="minorEastAsia" w:hAnsiTheme="minorEastAsia"/>
          <w:color w:val="000000"/>
          <w:sz w:val="24"/>
          <w:szCs w:val="24"/>
        </w:rPr>
      </w:pPr>
      <w:r w:rsidRPr="00401B11">
        <w:rPr>
          <w:rFonts w:asciiTheme="minorEastAsia" w:hAnsiTheme="minorEastAsia" w:hint="eastAsia"/>
          <w:color w:val="000000"/>
          <w:sz w:val="24"/>
          <w:szCs w:val="24"/>
        </w:rPr>
        <w:t>平安基金管理有限公司</w:t>
      </w:r>
    </w:p>
    <w:p w:rsidR="00BD01F8" w:rsidRPr="00401B11" w:rsidRDefault="0030192D" w:rsidP="0030192D">
      <w:pPr>
        <w:adjustRightInd w:val="0"/>
        <w:snapToGrid w:val="0"/>
        <w:spacing w:line="360" w:lineRule="auto"/>
        <w:ind w:firstLineChars="200" w:firstLine="480"/>
        <w:jc w:val="right"/>
        <w:rPr>
          <w:rFonts w:asciiTheme="minorEastAsia" w:hAnsiTheme="minorEastAsia"/>
          <w:sz w:val="24"/>
          <w:szCs w:val="24"/>
        </w:rPr>
      </w:pPr>
      <w:r w:rsidRPr="0030192D">
        <w:rPr>
          <w:color w:val="000000"/>
          <w:sz w:val="24"/>
        </w:rPr>
        <w:t>2024年6月</w:t>
      </w:r>
      <w:r>
        <w:rPr>
          <w:color w:val="000000"/>
          <w:sz w:val="24"/>
        </w:rPr>
        <w:t>8</w:t>
      </w:r>
      <w:r w:rsidRPr="0030192D">
        <w:rPr>
          <w:color w:val="000000"/>
          <w:sz w:val="24"/>
        </w:rPr>
        <w:t>日</w:t>
      </w:r>
    </w:p>
    <w:sectPr w:rsidR="00BD01F8" w:rsidRPr="00401B11" w:rsidSect="00BF13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C6A" w:rsidRDefault="005B4C6A" w:rsidP="00BD01F8">
      <w:r>
        <w:separator/>
      </w:r>
    </w:p>
  </w:endnote>
  <w:endnote w:type="continuationSeparator" w:id="0">
    <w:p w:rsidR="005B4C6A" w:rsidRDefault="005B4C6A" w:rsidP="00BD01F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方正舒体"/>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C6A" w:rsidRDefault="005B4C6A" w:rsidP="00BD01F8">
      <w:r>
        <w:separator/>
      </w:r>
    </w:p>
  </w:footnote>
  <w:footnote w:type="continuationSeparator" w:id="0">
    <w:p w:rsidR="005B4C6A" w:rsidRDefault="005B4C6A" w:rsidP="00BD01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01F8"/>
    <w:rsid w:val="000400C6"/>
    <w:rsid w:val="000A0CFB"/>
    <w:rsid w:val="000F0080"/>
    <w:rsid w:val="00157934"/>
    <w:rsid w:val="001711B2"/>
    <w:rsid w:val="001C4CCF"/>
    <w:rsid w:val="001E6E57"/>
    <w:rsid w:val="0023628E"/>
    <w:rsid w:val="002665FD"/>
    <w:rsid w:val="00286033"/>
    <w:rsid w:val="002A1E2B"/>
    <w:rsid w:val="002B4CD2"/>
    <w:rsid w:val="0030192D"/>
    <w:rsid w:val="003630B4"/>
    <w:rsid w:val="00401B11"/>
    <w:rsid w:val="004609EF"/>
    <w:rsid w:val="00460F3B"/>
    <w:rsid w:val="00487600"/>
    <w:rsid w:val="004A0A31"/>
    <w:rsid w:val="004B366D"/>
    <w:rsid w:val="00532F3F"/>
    <w:rsid w:val="0056395C"/>
    <w:rsid w:val="00573C1E"/>
    <w:rsid w:val="00587C1F"/>
    <w:rsid w:val="005B4C6A"/>
    <w:rsid w:val="005C04A6"/>
    <w:rsid w:val="006179AE"/>
    <w:rsid w:val="00633D30"/>
    <w:rsid w:val="00640738"/>
    <w:rsid w:val="006B6974"/>
    <w:rsid w:val="006E4B81"/>
    <w:rsid w:val="006F611B"/>
    <w:rsid w:val="00737090"/>
    <w:rsid w:val="0074110B"/>
    <w:rsid w:val="00743072"/>
    <w:rsid w:val="007C5A82"/>
    <w:rsid w:val="008B1544"/>
    <w:rsid w:val="00906D1F"/>
    <w:rsid w:val="0096536A"/>
    <w:rsid w:val="009E3CDB"/>
    <w:rsid w:val="009E3E79"/>
    <w:rsid w:val="00A11BBA"/>
    <w:rsid w:val="00A21C72"/>
    <w:rsid w:val="00A70D13"/>
    <w:rsid w:val="00AD41D5"/>
    <w:rsid w:val="00B30B06"/>
    <w:rsid w:val="00B56695"/>
    <w:rsid w:val="00B91B0C"/>
    <w:rsid w:val="00BB5B76"/>
    <w:rsid w:val="00BD01F8"/>
    <w:rsid w:val="00BE7D6E"/>
    <w:rsid w:val="00BF1314"/>
    <w:rsid w:val="00C543AF"/>
    <w:rsid w:val="00C93CCD"/>
    <w:rsid w:val="00CB3B21"/>
    <w:rsid w:val="00CE5F85"/>
    <w:rsid w:val="00D12001"/>
    <w:rsid w:val="00D73C57"/>
    <w:rsid w:val="00D772DB"/>
    <w:rsid w:val="00D8167D"/>
    <w:rsid w:val="00DA64BB"/>
    <w:rsid w:val="00F07564"/>
    <w:rsid w:val="00F12E44"/>
    <w:rsid w:val="00F409CC"/>
    <w:rsid w:val="00F40FB8"/>
    <w:rsid w:val="00FD51BB"/>
    <w:rsid w:val="00FE0C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314"/>
    <w:pPr>
      <w:widowControl w:val="0"/>
      <w:jc w:val="both"/>
    </w:pPr>
  </w:style>
  <w:style w:type="paragraph" w:styleId="2">
    <w:name w:val="heading 2"/>
    <w:basedOn w:val="a"/>
    <w:next w:val="a"/>
    <w:link w:val="2Char"/>
    <w:qFormat/>
    <w:rsid w:val="00BD01F8"/>
    <w:pPr>
      <w:keepNext/>
      <w:keepLines/>
      <w:spacing w:before="260" w:after="260" w:line="413" w:lineRule="auto"/>
      <w:outlineLvl w:val="1"/>
    </w:pPr>
    <w:rPr>
      <w:rFonts w:ascii="Arial" w:eastAsia="黑体"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BD01F8"/>
    <w:rPr>
      <w:rFonts w:asciiTheme="majorHAnsi" w:eastAsiaTheme="majorEastAsia" w:hAnsiTheme="majorHAnsi" w:cstheme="majorBidi"/>
      <w:b/>
      <w:bCs/>
      <w:sz w:val="32"/>
      <w:szCs w:val="32"/>
    </w:rPr>
  </w:style>
  <w:style w:type="character" w:styleId="a3">
    <w:name w:val="footnote reference"/>
    <w:rsid w:val="00BD01F8"/>
    <w:rPr>
      <w:vertAlign w:val="superscript"/>
    </w:rPr>
  </w:style>
  <w:style w:type="character" w:customStyle="1" w:styleId="2Char">
    <w:name w:val="标题 2 Char"/>
    <w:link w:val="2"/>
    <w:rsid w:val="00BD01F8"/>
    <w:rPr>
      <w:rFonts w:ascii="Arial" w:eastAsia="黑体" w:hAnsi="Arial" w:cs="Times New Roman"/>
      <w:b/>
      <w:sz w:val="32"/>
      <w:szCs w:val="20"/>
    </w:rPr>
  </w:style>
  <w:style w:type="paragraph" w:styleId="a4">
    <w:name w:val="footnote text"/>
    <w:basedOn w:val="a"/>
    <w:link w:val="Char"/>
    <w:rsid w:val="00BD01F8"/>
    <w:pPr>
      <w:snapToGrid w:val="0"/>
      <w:jc w:val="left"/>
    </w:pPr>
    <w:rPr>
      <w:rFonts w:ascii="Times New Roman" w:eastAsia="宋体" w:hAnsi="Times New Roman" w:cs="Times New Roman"/>
      <w:sz w:val="18"/>
      <w:szCs w:val="20"/>
    </w:rPr>
  </w:style>
  <w:style w:type="character" w:customStyle="1" w:styleId="Char">
    <w:name w:val="脚注文本 Char"/>
    <w:basedOn w:val="a0"/>
    <w:link w:val="a4"/>
    <w:rsid w:val="00BD01F8"/>
    <w:rPr>
      <w:rFonts w:ascii="Times New Roman" w:eastAsia="宋体" w:hAnsi="Times New Roman" w:cs="Times New Roman"/>
      <w:sz w:val="18"/>
      <w:szCs w:val="20"/>
    </w:rPr>
  </w:style>
  <w:style w:type="paragraph" w:customStyle="1" w:styleId="CharCharCharCharCharChar1CharCharChar">
    <w:name w:val="Char Char Char Char Char Char1 Char Char Char"/>
    <w:basedOn w:val="a"/>
    <w:rsid w:val="00BD01F8"/>
    <w:pPr>
      <w:autoSpaceDE w:val="0"/>
      <w:autoSpaceDN w:val="0"/>
      <w:adjustRightInd w:val="0"/>
      <w:jc w:val="left"/>
      <w:textAlignment w:val="baseline"/>
    </w:pPr>
    <w:rPr>
      <w:rFonts w:ascii="Times New Roman" w:eastAsia="方正仿宋简体" w:hAnsi="Times New Roman" w:cs="Times New Roman"/>
      <w:sz w:val="32"/>
      <w:szCs w:val="20"/>
    </w:rPr>
  </w:style>
  <w:style w:type="paragraph" w:styleId="a5">
    <w:name w:val="header"/>
    <w:basedOn w:val="a"/>
    <w:link w:val="Char0"/>
    <w:uiPriority w:val="99"/>
    <w:unhideWhenUsed/>
    <w:rsid w:val="00D816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8167D"/>
    <w:rPr>
      <w:sz w:val="18"/>
      <w:szCs w:val="18"/>
    </w:rPr>
  </w:style>
  <w:style w:type="paragraph" w:styleId="a6">
    <w:name w:val="footer"/>
    <w:basedOn w:val="a"/>
    <w:link w:val="Char1"/>
    <w:uiPriority w:val="99"/>
    <w:unhideWhenUsed/>
    <w:rsid w:val="00D8167D"/>
    <w:pPr>
      <w:tabs>
        <w:tab w:val="center" w:pos="4153"/>
        <w:tab w:val="right" w:pos="8306"/>
      </w:tabs>
      <w:snapToGrid w:val="0"/>
      <w:jc w:val="left"/>
    </w:pPr>
    <w:rPr>
      <w:sz w:val="18"/>
      <w:szCs w:val="18"/>
    </w:rPr>
  </w:style>
  <w:style w:type="character" w:customStyle="1" w:styleId="Char1">
    <w:name w:val="页脚 Char"/>
    <w:basedOn w:val="a0"/>
    <w:link w:val="a6"/>
    <w:uiPriority w:val="99"/>
    <w:rsid w:val="00D8167D"/>
    <w:rPr>
      <w:sz w:val="18"/>
      <w:szCs w:val="18"/>
    </w:rPr>
  </w:style>
  <w:style w:type="paragraph" w:customStyle="1" w:styleId="TableParagraph">
    <w:name w:val="Table Paragraph"/>
    <w:basedOn w:val="a"/>
    <w:uiPriority w:val="1"/>
    <w:qFormat/>
    <w:rsid w:val="00633D30"/>
    <w:pPr>
      <w:autoSpaceDE w:val="0"/>
      <w:autoSpaceDN w:val="0"/>
      <w:spacing w:before="198"/>
      <w:ind w:left="107"/>
      <w:jc w:val="left"/>
    </w:pPr>
    <w:rPr>
      <w:rFonts w:ascii="等线" w:eastAsia="等线" w:hAnsi="等线" w:cs="等线"/>
      <w:kern w:val="0"/>
      <w:sz w:val="22"/>
      <w:lang w:val="zh-CN" w:bidi="zh-CN"/>
    </w:rPr>
  </w:style>
</w:styles>
</file>

<file path=word/webSettings.xml><?xml version="1.0" encoding="utf-8"?>
<w:webSettings xmlns:r="http://schemas.openxmlformats.org/officeDocument/2006/relationships" xmlns:w="http://schemas.openxmlformats.org/wordprocessingml/2006/main">
  <w:divs>
    <w:div w:id="24134092">
      <w:bodyDiv w:val="1"/>
      <w:marLeft w:val="0"/>
      <w:marRight w:val="0"/>
      <w:marTop w:val="0"/>
      <w:marBottom w:val="0"/>
      <w:divBdr>
        <w:top w:val="none" w:sz="0" w:space="0" w:color="auto"/>
        <w:left w:val="none" w:sz="0" w:space="0" w:color="auto"/>
        <w:bottom w:val="none" w:sz="0" w:space="0" w:color="auto"/>
        <w:right w:val="none" w:sz="0" w:space="0" w:color="auto"/>
      </w:divBdr>
      <w:divsChild>
        <w:div w:id="807863511">
          <w:marLeft w:val="0"/>
          <w:marRight w:val="0"/>
          <w:marTop w:val="0"/>
          <w:marBottom w:val="0"/>
          <w:divBdr>
            <w:top w:val="none" w:sz="0" w:space="0" w:color="auto"/>
            <w:left w:val="none" w:sz="0" w:space="0" w:color="auto"/>
            <w:bottom w:val="none" w:sz="0" w:space="0" w:color="auto"/>
            <w:right w:val="none" w:sz="0" w:space="0" w:color="auto"/>
          </w:divBdr>
          <w:divsChild>
            <w:div w:id="1645236004">
              <w:marLeft w:val="0"/>
              <w:marRight w:val="0"/>
              <w:marTop w:val="0"/>
              <w:marBottom w:val="0"/>
              <w:divBdr>
                <w:top w:val="none" w:sz="0" w:space="0" w:color="auto"/>
                <w:left w:val="none" w:sz="0" w:space="0" w:color="auto"/>
                <w:bottom w:val="none" w:sz="0" w:space="0" w:color="auto"/>
                <w:right w:val="none" w:sz="0" w:space="0" w:color="auto"/>
              </w:divBdr>
              <w:divsChild>
                <w:div w:id="1624966724">
                  <w:marLeft w:val="0"/>
                  <w:marRight w:val="0"/>
                  <w:marTop w:val="0"/>
                  <w:marBottom w:val="0"/>
                  <w:divBdr>
                    <w:top w:val="none" w:sz="0" w:space="0" w:color="auto"/>
                    <w:left w:val="none" w:sz="0" w:space="0" w:color="auto"/>
                    <w:bottom w:val="none" w:sz="0" w:space="0" w:color="auto"/>
                    <w:right w:val="none" w:sz="0" w:space="0" w:color="auto"/>
                  </w:divBdr>
                  <w:divsChild>
                    <w:div w:id="1899045326">
                      <w:marLeft w:val="0"/>
                      <w:marRight w:val="0"/>
                      <w:marTop w:val="0"/>
                      <w:marBottom w:val="0"/>
                      <w:divBdr>
                        <w:top w:val="none" w:sz="0" w:space="0" w:color="auto"/>
                        <w:left w:val="none" w:sz="0" w:space="0" w:color="auto"/>
                        <w:bottom w:val="none" w:sz="0" w:space="0" w:color="auto"/>
                        <w:right w:val="none" w:sz="0" w:space="0" w:color="auto"/>
                      </w:divBdr>
                      <w:divsChild>
                        <w:div w:id="1165709087">
                          <w:marLeft w:val="0"/>
                          <w:marRight w:val="0"/>
                          <w:marTop w:val="0"/>
                          <w:marBottom w:val="0"/>
                          <w:divBdr>
                            <w:top w:val="none" w:sz="0" w:space="0" w:color="auto"/>
                            <w:left w:val="none" w:sz="0" w:space="0" w:color="auto"/>
                            <w:bottom w:val="none" w:sz="0" w:space="0" w:color="auto"/>
                            <w:right w:val="none" w:sz="0" w:space="0" w:color="auto"/>
                          </w:divBdr>
                          <w:divsChild>
                            <w:div w:id="703555369">
                              <w:marLeft w:val="0"/>
                              <w:marRight w:val="0"/>
                              <w:marTop w:val="0"/>
                              <w:marBottom w:val="0"/>
                              <w:divBdr>
                                <w:top w:val="none" w:sz="0" w:space="0" w:color="auto"/>
                                <w:left w:val="none" w:sz="0" w:space="0" w:color="auto"/>
                                <w:bottom w:val="none" w:sz="0" w:space="0" w:color="auto"/>
                                <w:right w:val="none" w:sz="0" w:space="0" w:color="auto"/>
                              </w:divBdr>
                              <w:divsChild>
                                <w:div w:id="1448964498">
                                  <w:marLeft w:val="0"/>
                                  <w:marRight w:val="0"/>
                                  <w:marTop w:val="0"/>
                                  <w:marBottom w:val="0"/>
                                  <w:divBdr>
                                    <w:top w:val="none" w:sz="0" w:space="0" w:color="auto"/>
                                    <w:left w:val="none" w:sz="0" w:space="0" w:color="auto"/>
                                    <w:bottom w:val="none" w:sz="0" w:space="0" w:color="auto"/>
                                    <w:right w:val="none" w:sz="0" w:space="0" w:color="auto"/>
                                  </w:divBdr>
                                  <w:divsChild>
                                    <w:div w:id="10684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55034">
      <w:bodyDiv w:val="1"/>
      <w:marLeft w:val="0"/>
      <w:marRight w:val="0"/>
      <w:marTop w:val="0"/>
      <w:marBottom w:val="0"/>
      <w:divBdr>
        <w:top w:val="none" w:sz="0" w:space="0" w:color="auto"/>
        <w:left w:val="none" w:sz="0" w:space="0" w:color="auto"/>
        <w:bottom w:val="none" w:sz="0" w:space="0" w:color="auto"/>
        <w:right w:val="none" w:sz="0" w:space="0" w:color="auto"/>
      </w:divBdr>
      <w:divsChild>
        <w:div w:id="1072697467">
          <w:marLeft w:val="0"/>
          <w:marRight w:val="0"/>
          <w:marTop w:val="0"/>
          <w:marBottom w:val="0"/>
          <w:divBdr>
            <w:top w:val="none" w:sz="0" w:space="0" w:color="auto"/>
            <w:left w:val="none" w:sz="0" w:space="0" w:color="auto"/>
            <w:bottom w:val="none" w:sz="0" w:space="0" w:color="auto"/>
            <w:right w:val="none" w:sz="0" w:space="0" w:color="auto"/>
          </w:divBdr>
        </w:div>
      </w:divsChild>
    </w:div>
    <w:div w:id="1050882181">
      <w:bodyDiv w:val="1"/>
      <w:marLeft w:val="0"/>
      <w:marRight w:val="0"/>
      <w:marTop w:val="0"/>
      <w:marBottom w:val="0"/>
      <w:divBdr>
        <w:top w:val="none" w:sz="0" w:space="0" w:color="auto"/>
        <w:left w:val="none" w:sz="0" w:space="0" w:color="auto"/>
        <w:bottom w:val="none" w:sz="0" w:space="0" w:color="auto"/>
        <w:right w:val="none" w:sz="0" w:space="0" w:color="auto"/>
      </w:divBdr>
    </w:div>
    <w:div w:id="1263608427">
      <w:bodyDiv w:val="1"/>
      <w:marLeft w:val="0"/>
      <w:marRight w:val="0"/>
      <w:marTop w:val="0"/>
      <w:marBottom w:val="0"/>
      <w:divBdr>
        <w:top w:val="none" w:sz="0" w:space="0" w:color="auto"/>
        <w:left w:val="none" w:sz="0" w:space="0" w:color="auto"/>
        <w:bottom w:val="none" w:sz="0" w:space="0" w:color="auto"/>
        <w:right w:val="none" w:sz="0" w:space="0" w:color="auto"/>
      </w:divBdr>
    </w:div>
    <w:div w:id="1422027493">
      <w:bodyDiv w:val="1"/>
      <w:marLeft w:val="0"/>
      <w:marRight w:val="0"/>
      <w:marTop w:val="0"/>
      <w:marBottom w:val="0"/>
      <w:divBdr>
        <w:top w:val="none" w:sz="0" w:space="0" w:color="auto"/>
        <w:left w:val="none" w:sz="0" w:space="0" w:color="auto"/>
        <w:bottom w:val="none" w:sz="0" w:space="0" w:color="auto"/>
        <w:right w:val="none" w:sz="0" w:space="0" w:color="auto"/>
      </w:divBdr>
      <w:divsChild>
        <w:div w:id="138378962">
          <w:marLeft w:val="0"/>
          <w:marRight w:val="0"/>
          <w:marTop w:val="0"/>
          <w:marBottom w:val="0"/>
          <w:divBdr>
            <w:top w:val="none" w:sz="0" w:space="0" w:color="auto"/>
            <w:left w:val="none" w:sz="0" w:space="0" w:color="auto"/>
            <w:bottom w:val="none" w:sz="0" w:space="0" w:color="auto"/>
            <w:right w:val="none" w:sz="0" w:space="0" w:color="auto"/>
          </w:divBdr>
        </w:div>
      </w:divsChild>
    </w:div>
    <w:div w:id="20953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1400</Characters>
  <Application>Microsoft Office Word</Application>
  <DocSecurity>4</DocSecurity>
  <Lines>11</Lines>
  <Paragraphs>3</Paragraphs>
  <ScaleCrop>false</ScaleCrop>
  <Company>AutoInstall</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周珂婧</dc:creator>
  <cp:keywords/>
  <dc:description/>
  <cp:lastModifiedBy>ZHONGM</cp:lastModifiedBy>
  <cp:revision>2</cp:revision>
  <dcterms:created xsi:type="dcterms:W3CDTF">2024-06-07T16:01:00Z</dcterms:created>
  <dcterms:modified xsi:type="dcterms:W3CDTF">2024-06-07T16:01:00Z</dcterms:modified>
</cp:coreProperties>
</file>