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4F8" w:rsidRDefault="00F3376A">
      <w:pPr>
        <w:spacing w:line="360" w:lineRule="auto"/>
        <w:jc w:val="center"/>
        <w:rPr>
          <w:rFonts w:ascii="Arial" w:hAnsi="Arial" w:cs="Arial"/>
          <w:b/>
          <w:bCs/>
          <w:sz w:val="32"/>
          <w:szCs w:val="32"/>
        </w:rPr>
      </w:pPr>
      <w:r>
        <w:rPr>
          <w:rFonts w:ascii="Arial" w:hAnsi="Arial" w:cs="Arial" w:hint="eastAsia"/>
          <w:b/>
          <w:bCs/>
          <w:sz w:val="32"/>
          <w:szCs w:val="32"/>
        </w:rPr>
        <w:t>弘毅远方基金管理有限公司关于</w:t>
      </w:r>
    </w:p>
    <w:p w:rsidR="00B834F8" w:rsidRDefault="00F3376A">
      <w:pPr>
        <w:spacing w:line="360" w:lineRule="auto"/>
        <w:jc w:val="center"/>
        <w:rPr>
          <w:rFonts w:ascii="Arial" w:hAnsi="Arial" w:cs="Arial"/>
          <w:b/>
          <w:bCs/>
          <w:sz w:val="32"/>
          <w:szCs w:val="32"/>
        </w:rPr>
      </w:pPr>
      <w:r>
        <w:rPr>
          <w:rFonts w:ascii="Arial" w:hAnsi="Arial" w:cs="Arial" w:hint="eastAsia"/>
          <w:b/>
          <w:bCs/>
          <w:sz w:val="32"/>
          <w:szCs w:val="32"/>
        </w:rPr>
        <w:t>弘毅远方高端制造混合型发起式证券投资基金</w:t>
      </w:r>
    </w:p>
    <w:p w:rsidR="00B834F8" w:rsidRDefault="00F3376A">
      <w:pPr>
        <w:spacing w:line="360" w:lineRule="auto"/>
        <w:jc w:val="center"/>
        <w:rPr>
          <w:rFonts w:ascii="Arial" w:hAnsi="Arial" w:cs="Arial"/>
          <w:b/>
          <w:bCs/>
          <w:sz w:val="32"/>
          <w:szCs w:val="32"/>
        </w:rPr>
      </w:pPr>
      <w:r>
        <w:rPr>
          <w:rFonts w:ascii="Arial" w:hAnsi="Arial" w:cs="Arial" w:hint="eastAsia"/>
          <w:b/>
          <w:bCs/>
          <w:sz w:val="32"/>
          <w:szCs w:val="32"/>
        </w:rPr>
        <w:t>基金合同终止及基金财产清算的公告</w:t>
      </w:r>
    </w:p>
    <w:p w:rsidR="00B834F8" w:rsidRDefault="00B834F8">
      <w:pPr>
        <w:spacing w:line="360" w:lineRule="auto"/>
        <w:jc w:val="center"/>
        <w:rPr>
          <w:rFonts w:ascii="Arial" w:hAnsi="Arial" w:cs="Arial"/>
          <w:sz w:val="24"/>
          <w:szCs w:val="24"/>
        </w:rPr>
      </w:pP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根据《中华人民共和国证券投资基金法》、《公开募集证券投资基金运作管理办法》、《弘毅远方高端制造混合型发起式证券投资基金基金合同》（以下简称“基金合同”或“《基金合同》”）的有关规定，弘毅远方高端制造混合型发起式证券投资基金（以下简称“本基金”）出现了基金合同终止事由，且弘毅远方基金管理有限公司（以下简称“本基金管理人”）应当在上述事由出现后依法履行基金财产清算程序并终止基金合同，此事项无需召开基金份额持有人大会。现将相关事宜公告如下：</w:t>
      </w:r>
    </w:p>
    <w:p w:rsidR="00B834F8" w:rsidRDefault="00F3376A">
      <w:pPr>
        <w:spacing w:line="360" w:lineRule="auto"/>
        <w:ind w:firstLineChars="200" w:firstLine="482"/>
        <w:rPr>
          <w:rFonts w:ascii="Arial" w:hAnsi="Arial" w:cs="Arial"/>
          <w:b/>
          <w:bCs/>
          <w:sz w:val="24"/>
          <w:szCs w:val="24"/>
        </w:rPr>
      </w:pPr>
      <w:r>
        <w:rPr>
          <w:rFonts w:ascii="Arial" w:hAnsi="Arial" w:cs="Arial" w:hint="eastAsia"/>
          <w:b/>
          <w:bCs/>
          <w:sz w:val="24"/>
          <w:szCs w:val="24"/>
        </w:rPr>
        <w:t>一、本基金基本信息</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基金名称：弘毅远方高端制造混合型发起式证券投资基金</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基金简称：弘毅远方高端制造混合</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基金代码：</w:t>
      </w:r>
      <w:r>
        <w:rPr>
          <w:rFonts w:ascii="Arial" w:hAnsi="Arial" w:cs="Arial" w:hint="eastAsia"/>
          <w:sz w:val="24"/>
          <w:szCs w:val="24"/>
        </w:rPr>
        <w:t>A</w:t>
      </w:r>
      <w:r>
        <w:rPr>
          <w:rFonts w:ascii="Arial" w:hAnsi="Arial" w:cs="Arial" w:hint="eastAsia"/>
          <w:sz w:val="24"/>
          <w:szCs w:val="24"/>
        </w:rPr>
        <w:t>类：</w:t>
      </w:r>
      <w:r>
        <w:rPr>
          <w:rFonts w:ascii="Arial" w:hAnsi="Arial" w:cs="Arial"/>
          <w:sz w:val="24"/>
          <w:szCs w:val="24"/>
        </w:rPr>
        <w:t>011</w:t>
      </w:r>
      <w:r>
        <w:rPr>
          <w:rFonts w:ascii="Arial" w:hAnsi="Arial" w:cs="Arial" w:hint="eastAsia"/>
          <w:sz w:val="24"/>
          <w:szCs w:val="24"/>
        </w:rPr>
        <w:t>886</w:t>
      </w:r>
      <w:r>
        <w:rPr>
          <w:rFonts w:ascii="Arial" w:hAnsi="Arial" w:cs="Arial" w:hint="eastAsia"/>
          <w:sz w:val="24"/>
          <w:szCs w:val="24"/>
        </w:rPr>
        <w:t>；</w:t>
      </w:r>
      <w:r>
        <w:rPr>
          <w:rFonts w:ascii="Arial" w:hAnsi="Arial" w:cs="Arial" w:hint="eastAsia"/>
          <w:sz w:val="24"/>
          <w:szCs w:val="24"/>
        </w:rPr>
        <w:t>C</w:t>
      </w:r>
      <w:r>
        <w:rPr>
          <w:rFonts w:ascii="Arial" w:hAnsi="Arial" w:cs="Arial" w:hint="eastAsia"/>
          <w:sz w:val="24"/>
          <w:szCs w:val="24"/>
        </w:rPr>
        <w:t>类：</w:t>
      </w:r>
      <w:r>
        <w:rPr>
          <w:rFonts w:ascii="Arial" w:hAnsi="Arial" w:cs="Arial"/>
          <w:sz w:val="24"/>
          <w:szCs w:val="24"/>
        </w:rPr>
        <w:t>011</w:t>
      </w:r>
      <w:r>
        <w:rPr>
          <w:rFonts w:ascii="Arial" w:hAnsi="Arial" w:cs="Arial" w:hint="eastAsia"/>
          <w:sz w:val="24"/>
          <w:szCs w:val="24"/>
        </w:rPr>
        <w:t>887</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运作方式：契约型开放式</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基金合同生效日：</w:t>
      </w:r>
      <w:r>
        <w:rPr>
          <w:rFonts w:ascii="Arial" w:hAnsi="Arial" w:cs="Arial"/>
          <w:sz w:val="24"/>
          <w:szCs w:val="24"/>
        </w:rPr>
        <w:t>2021</w:t>
      </w:r>
      <w:r>
        <w:rPr>
          <w:rFonts w:ascii="Arial" w:hAnsi="Arial" w:cs="Arial" w:hint="eastAsia"/>
          <w:sz w:val="24"/>
          <w:szCs w:val="24"/>
        </w:rPr>
        <w:t>年</w:t>
      </w:r>
      <w:r>
        <w:rPr>
          <w:rFonts w:ascii="Arial" w:hAnsi="Arial" w:cs="Arial" w:hint="eastAsia"/>
          <w:sz w:val="24"/>
          <w:szCs w:val="24"/>
        </w:rPr>
        <w:t>6</w:t>
      </w:r>
      <w:r>
        <w:rPr>
          <w:rFonts w:ascii="Arial" w:hAnsi="Arial" w:cs="Arial" w:hint="eastAsia"/>
          <w:sz w:val="24"/>
          <w:szCs w:val="24"/>
        </w:rPr>
        <w:t>月</w:t>
      </w:r>
      <w:r>
        <w:rPr>
          <w:rFonts w:ascii="Arial" w:hAnsi="Arial" w:cs="Arial" w:hint="eastAsia"/>
          <w:sz w:val="24"/>
          <w:szCs w:val="24"/>
        </w:rPr>
        <w:t>1</w:t>
      </w:r>
      <w:r>
        <w:rPr>
          <w:rFonts w:ascii="Arial" w:hAnsi="Arial" w:cs="Arial" w:hint="eastAsia"/>
          <w:sz w:val="24"/>
          <w:szCs w:val="24"/>
        </w:rPr>
        <w:t>日</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基金管理人名称：弘毅远方基金管理有限公司</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基金托管人名称：广发证券股份有限公司</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基金登记结算机构：弘毅远方基金管理有限公司</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公告依据：《中华人民共和国证券投资基金法》、《公开募集证券投资基金运作管理办法》、《公开募集证券投资基金信息披露管理办法》、《弘毅远方高端制造混合型发起式证券投资基金基金合同》、《弘毅远方高端制造混合型发起式证券投资基金招募说明书》等</w:t>
      </w:r>
    </w:p>
    <w:p w:rsidR="00B834F8" w:rsidRDefault="00F3376A">
      <w:pPr>
        <w:spacing w:line="360" w:lineRule="auto"/>
        <w:ind w:firstLineChars="200" w:firstLine="482"/>
        <w:rPr>
          <w:rFonts w:ascii="Arial" w:hAnsi="Arial" w:cs="Arial"/>
          <w:b/>
          <w:bCs/>
          <w:sz w:val="24"/>
          <w:szCs w:val="24"/>
        </w:rPr>
      </w:pPr>
      <w:r>
        <w:rPr>
          <w:rFonts w:ascii="Arial" w:hAnsi="Arial" w:cs="Arial" w:hint="eastAsia"/>
          <w:b/>
          <w:bCs/>
          <w:sz w:val="24"/>
          <w:szCs w:val="24"/>
        </w:rPr>
        <w:t>二、基金合同终止事由及后续安排</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根据《基金合同》“第五部分</w:t>
      </w:r>
      <w:r>
        <w:rPr>
          <w:rFonts w:ascii="Arial" w:hAnsi="Arial" w:cs="Arial"/>
          <w:sz w:val="24"/>
          <w:szCs w:val="24"/>
        </w:rPr>
        <w:t xml:space="preserve"> </w:t>
      </w:r>
      <w:r>
        <w:rPr>
          <w:rFonts w:ascii="Arial" w:hAnsi="Arial" w:cs="Arial" w:hint="eastAsia"/>
          <w:sz w:val="24"/>
          <w:szCs w:val="24"/>
        </w:rPr>
        <w:t>基金备案”中“三、基金存续期内的基金份额持有人数量和资产规模”的约定：“本基金的《基金合同》生效三年后（指《基金合同》生效之日起三年后的对应日，该对应日如为非工作日，则自动顺延至下</w:t>
      </w:r>
      <w:r>
        <w:rPr>
          <w:rFonts w:ascii="Arial" w:hAnsi="Arial" w:cs="Arial" w:hint="eastAsia"/>
          <w:sz w:val="24"/>
          <w:szCs w:val="24"/>
        </w:rPr>
        <w:lastRenderedPageBreak/>
        <w:t>一个工作日），若基金资产净值低于</w:t>
      </w:r>
      <w:r>
        <w:rPr>
          <w:rFonts w:ascii="Arial" w:hAnsi="Arial" w:cs="Arial" w:hint="eastAsia"/>
          <w:sz w:val="24"/>
          <w:szCs w:val="24"/>
        </w:rPr>
        <w:t>2</w:t>
      </w:r>
      <w:r>
        <w:rPr>
          <w:rFonts w:ascii="Arial" w:hAnsi="Arial" w:cs="Arial" w:hint="eastAsia"/>
          <w:sz w:val="24"/>
          <w:szCs w:val="24"/>
        </w:rPr>
        <w:t>亿元的，基金合同自动终止，且不得通过召开基金份额持有人大会延续基金合同期限。”</w:t>
      </w:r>
    </w:p>
    <w:p w:rsidR="00B834F8" w:rsidRDefault="003D3F3F">
      <w:pPr>
        <w:spacing w:line="360" w:lineRule="auto"/>
        <w:ind w:firstLineChars="200" w:firstLine="480"/>
        <w:rPr>
          <w:rFonts w:ascii="Arial" w:hAnsi="Arial" w:cs="Arial"/>
          <w:sz w:val="24"/>
          <w:szCs w:val="24"/>
        </w:rPr>
      </w:pPr>
      <w:r>
        <w:rPr>
          <w:rFonts w:ascii="Arial" w:hAnsi="Arial" w:cs="Arial" w:hint="eastAsia"/>
          <w:sz w:val="24"/>
          <w:szCs w:val="24"/>
        </w:rPr>
        <w:t>《</w:t>
      </w:r>
      <w:r w:rsidR="00A169BE" w:rsidRPr="00A169BE">
        <w:rPr>
          <w:rFonts w:ascii="Arial" w:hAnsi="Arial" w:cs="Arial" w:hint="eastAsia"/>
          <w:sz w:val="24"/>
          <w:szCs w:val="24"/>
        </w:rPr>
        <w:t>基金合同</w:t>
      </w:r>
      <w:r>
        <w:rPr>
          <w:rFonts w:ascii="Arial" w:hAnsi="Arial" w:cs="Arial" w:hint="eastAsia"/>
          <w:sz w:val="24"/>
          <w:szCs w:val="24"/>
        </w:rPr>
        <w:t>》</w:t>
      </w:r>
      <w:r w:rsidR="00A169BE" w:rsidRPr="00A169BE">
        <w:rPr>
          <w:rFonts w:ascii="Arial" w:hAnsi="Arial" w:cs="Arial" w:hint="eastAsia"/>
          <w:sz w:val="24"/>
          <w:szCs w:val="24"/>
        </w:rPr>
        <w:t>生效日为</w:t>
      </w:r>
      <w:r w:rsidR="00A169BE" w:rsidRPr="00A169BE">
        <w:rPr>
          <w:rFonts w:ascii="Arial" w:hAnsi="Arial" w:cs="Arial" w:hint="eastAsia"/>
          <w:sz w:val="24"/>
          <w:szCs w:val="24"/>
        </w:rPr>
        <w:t>2021</w:t>
      </w:r>
      <w:r w:rsidR="00A169BE" w:rsidRPr="00A169BE">
        <w:rPr>
          <w:rFonts w:ascii="Arial" w:hAnsi="Arial" w:cs="Arial" w:hint="eastAsia"/>
          <w:sz w:val="24"/>
          <w:szCs w:val="24"/>
        </w:rPr>
        <w:t>年</w:t>
      </w:r>
      <w:r w:rsidR="00A169BE" w:rsidRPr="00A169BE">
        <w:rPr>
          <w:rFonts w:ascii="Arial" w:hAnsi="Arial" w:cs="Arial" w:hint="eastAsia"/>
          <w:sz w:val="24"/>
          <w:szCs w:val="24"/>
        </w:rPr>
        <w:t>6</w:t>
      </w:r>
      <w:r w:rsidR="00A169BE" w:rsidRPr="00A169BE">
        <w:rPr>
          <w:rFonts w:ascii="Arial" w:hAnsi="Arial" w:cs="Arial" w:hint="eastAsia"/>
          <w:sz w:val="24"/>
          <w:szCs w:val="24"/>
        </w:rPr>
        <w:t>月</w:t>
      </w:r>
      <w:r w:rsidR="00A169BE" w:rsidRPr="00A169BE">
        <w:rPr>
          <w:rFonts w:ascii="Arial" w:hAnsi="Arial" w:cs="Arial" w:hint="eastAsia"/>
          <w:sz w:val="24"/>
          <w:szCs w:val="24"/>
        </w:rPr>
        <w:t>1</w:t>
      </w:r>
      <w:r w:rsidR="00A169BE" w:rsidRPr="00A169BE">
        <w:rPr>
          <w:rFonts w:ascii="Arial" w:hAnsi="Arial" w:cs="Arial" w:hint="eastAsia"/>
          <w:sz w:val="24"/>
          <w:szCs w:val="24"/>
        </w:rPr>
        <w:t>日，</w:t>
      </w:r>
      <w:r>
        <w:rPr>
          <w:rFonts w:ascii="Arial" w:hAnsi="Arial" w:cs="Arial" w:hint="eastAsia"/>
          <w:sz w:val="24"/>
          <w:szCs w:val="24"/>
        </w:rPr>
        <w:t>《</w:t>
      </w:r>
      <w:r w:rsidR="00A169BE" w:rsidRPr="00A169BE">
        <w:rPr>
          <w:rFonts w:ascii="Arial" w:hAnsi="Arial" w:cs="Arial" w:hint="eastAsia"/>
          <w:sz w:val="24"/>
          <w:szCs w:val="24"/>
        </w:rPr>
        <w:t>基金合同</w:t>
      </w:r>
      <w:r>
        <w:rPr>
          <w:rFonts w:ascii="Arial" w:hAnsi="Arial" w:cs="Arial" w:hint="eastAsia"/>
          <w:sz w:val="24"/>
          <w:szCs w:val="24"/>
        </w:rPr>
        <w:t>》</w:t>
      </w:r>
      <w:r w:rsidR="00A169BE" w:rsidRPr="00A169BE">
        <w:rPr>
          <w:rFonts w:ascii="Arial" w:hAnsi="Arial" w:cs="Arial" w:hint="eastAsia"/>
          <w:sz w:val="24"/>
          <w:szCs w:val="24"/>
        </w:rPr>
        <w:t>生效之日起三年后</w:t>
      </w:r>
      <w:r w:rsidR="00B11B6C">
        <w:rPr>
          <w:rFonts w:ascii="Arial" w:hAnsi="Arial" w:cs="Arial" w:hint="eastAsia"/>
          <w:sz w:val="24"/>
          <w:szCs w:val="24"/>
        </w:rPr>
        <w:t>，</w:t>
      </w:r>
      <w:r w:rsidR="00F3376A">
        <w:rPr>
          <w:rFonts w:ascii="Arial" w:hAnsi="Arial" w:cs="Arial" w:hint="eastAsia"/>
          <w:sz w:val="24"/>
          <w:szCs w:val="24"/>
        </w:rPr>
        <w:t>截至</w:t>
      </w:r>
      <w:r w:rsidR="00F3376A">
        <w:rPr>
          <w:rFonts w:ascii="Arial" w:hAnsi="Arial" w:cs="Arial"/>
          <w:sz w:val="24"/>
          <w:szCs w:val="24"/>
        </w:rPr>
        <w:t>2024</w:t>
      </w:r>
      <w:r w:rsidR="00F3376A">
        <w:rPr>
          <w:rFonts w:ascii="Arial" w:hAnsi="Arial" w:cs="Arial" w:hint="eastAsia"/>
          <w:sz w:val="24"/>
          <w:szCs w:val="24"/>
        </w:rPr>
        <w:t>年</w:t>
      </w:r>
      <w:r w:rsidR="00F3376A">
        <w:rPr>
          <w:rFonts w:ascii="Arial" w:hAnsi="Arial" w:cs="Arial" w:hint="eastAsia"/>
          <w:sz w:val="24"/>
          <w:szCs w:val="24"/>
        </w:rPr>
        <w:t>6</w:t>
      </w:r>
      <w:r w:rsidR="00F3376A">
        <w:rPr>
          <w:rFonts w:ascii="Arial" w:hAnsi="Arial" w:cs="Arial" w:hint="eastAsia"/>
          <w:sz w:val="24"/>
          <w:szCs w:val="24"/>
        </w:rPr>
        <w:t>月</w:t>
      </w:r>
      <w:r w:rsidR="00F3376A">
        <w:rPr>
          <w:rFonts w:ascii="Arial" w:hAnsi="Arial" w:cs="Arial" w:hint="eastAsia"/>
          <w:sz w:val="24"/>
          <w:szCs w:val="24"/>
        </w:rPr>
        <w:t>3</w:t>
      </w:r>
      <w:r w:rsidR="00F3376A">
        <w:rPr>
          <w:rFonts w:ascii="Arial" w:hAnsi="Arial" w:cs="Arial" w:hint="eastAsia"/>
          <w:sz w:val="24"/>
          <w:szCs w:val="24"/>
        </w:rPr>
        <w:t>日（《基金合同》生效之日起三年后的对应日）</w:t>
      </w:r>
      <w:r w:rsidR="00B11B6C">
        <w:rPr>
          <w:rFonts w:ascii="Arial" w:hAnsi="Arial" w:cs="Arial" w:hint="eastAsia"/>
          <w:sz w:val="24"/>
          <w:szCs w:val="24"/>
        </w:rPr>
        <w:t>日终</w:t>
      </w:r>
      <w:r w:rsidR="00F3376A">
        <w:rPr>
          <w:rFonts w:ascii="Arial" w:hAnsi="Arial" w:cs="Arial" w:hint="eastAsia"/>
          <w:sz w:val="24"/>
          <w:szCs w:val="24"/>
        </w:rPr>
        <w:t>，本基金基金资产净值低于</w:t>
      </w:r>
      <w:r w:rsidR="00F3376A">
        <w:rPr>
          <w:rFonts w:ascii="Arial" w:hAnsi="Arial" w:cs="Arial" w:hint="eastAsia"/>
          <w:sz w:val="24"/>
          <w:szCs w:val="24"/>
        </w:rPr>
        <w:t>2</w:t>
      </w:r>
      <w:r w:rsidR="00F3376A">
        <w:rPr>
          <w:rFonts w:ascii="Arial" w:hAnsi="Arial" w:cs="Arial" w:hint="eastAsia"/>
          <w:sz w:val="24"/>
          <w:szCs w:val="24"/>
        </w:rPr>
        <w:t>亿元。根据基金合同约定，基金管理人依法履行基金财产清算程序并终止基金合同，且无需召开基金份额持有人大会。</w:t>
      </w:r>
    </w:p>
    <w:p w:rsidR="00B834F8" w:rsidRDefault="00BF7594">
      <w:pPr>
        <w:spacing w:line="360" w:lineRule="auto"/>
        <w:ind w:firstLineChars="200" w:firstLine="480"/>
        <w:rPr>
          <w:rFonts w:ascii="Arial" w:hAnsi="Arial" w:cs="Arial"/>
          <w:sz w:val="24"/>
          <w:szCs w:val="24"/>
        </w:rPr>
      </w:pPr>
      <w:r>
        <w:rPr>
          <w:rFonts w:ascii="Arial" w:hAnsi="Arial" w:cs="Arial" w:hint="eastAsia"/>
          <w:sz w:val="24"/>
          <w:szCs w:val="24"/>
        </w:rPr>
        <w:t>本基金最后运作日为</w:t>
      </w:r>
      <w:r>
        <w:rPr>
          <w:rFonts w:ascii="Arial" w:hAnsi="Arial" w:cs="Arial"/>
          <w:sz w:val="24"/>
          <w:szCs w:val="24"/>
        </w:rPr>
        <w:t>2024</w:t>
      </w:r>
      <w:r>
        <w:rPr>
          <w:rFonts w:ascii="Arial" w:hAnsi="Arial" w:cs="Arial" w:hint="eastAsia"/>
          <w:sz w:val="24"/>
          <w:szCs w:val="24"/>
        </w:rPr>
        <w:t>年</w:t>
      </w:r>
      <w:r>
        <w:rPr>
          <w:rFonts w:ascii="Arial" w:hAnsi="Arial" w:cs="Arial" w:hint="eastAsia"/>
          <w:sz w:val="24"/>
          <w:szCs w:val="24"/>
        </w:rPr>
        <w:t>6</w:t>
      </w:r>
      <w:r>
        <w:rPr>
          <w:rFonts w:ascii="Arial" w:hAnsi="Arial" w:cs="Arial" w:hint="eastAsia"/>
          <w:sz w:val="24"/>
          <w:szCs w:val="24"/>
        </w:rPr>
        <w:t>月</w:t>
      </w:r>
      <w:r>
        <w:rPr>
          <w:rFonts w:ascii="Arial" w:hAnsi="Arial" w:cs="Arial" w:hint="eastAsia"/>
          <w:sz w:val="24"/>
          <w:szCs w:val="24"/>
        </w:rPr>
        <w:t>3</w:t>
      </w:r>
      <w:r>
        <w:rPr>
          <w:rFonts w:ascii="Arial" w:hAnsi="Arial" w:cs="Arial" w:hint="eastAsia"/>
          <w:sz w:val="24"/>
          <w:szCs w:val="24"/>
        </w:rPr>
        <w:t>日，</w:t>
      </w:r>
      <w:r w:rsidR="00F3376A">
        <w:rPr>
          <w:rFonts w:ascii="Arial" w:hAnsi="Arial" w:cs="Arial" w:hint="eastAsia"/>
          <w:sz w:val="24"/>
          <w:szCs w:val="24"/>
        </w:rPr>
        <w:t>自</w:t>
      </w:r>
      <w:r w:rsidR="00F3376A">
        <w:rPr>
          <w:rFonts w:ascii="Arial" w:hAnsi="Arial" w:cs="Arial"/>
          <w:sz w:val="24"/>
          <w:szCs w:val="24"/>
        </w:rPr>
        <w:t>202</w:t>
      </w:r>
      <w:r w:rsidR="00F3376A">
        <w:rPr>
          <w:rFonts w:ascii="Arial" w:hAnsi="Arial" w:cs="Arial" w:hint="eastAsia"/>
          <w:sz w:val="24"/>
          <w:szCs w:val="24"/>
        </w:rPr>
        <w:t>4</w:t>
      </w:r>
      <w:r w:rsidR="00F3376A">
        <w:rPr>
          <w:rFonts w:ascii="Arial" w:hAnsi="Arial" w:cs="Arial" w:hint="eastAsia"/>
          <w:sz w:val="24"/>
          <w:szCs w:val="24"/>
        </w:rPr>
        <w:t>年</w:t>
      </w:r>
      <w:r w:rsidR="00F3376A">
        <w:rPr>
          <w:rFonts w:ascii="Arial" w:hAnsi="Arial" w:cs="Arial" w:hint="eastAsia"/>
          <w:sz w:val="24"/>
          <w:szCs w:val="24"/>
        </w:rPr>
        <w:t>6</w:t>
      </w:r>
      <w:r w:rsidR="00F3376A">
        <w:rPr>
          <w:rFonts w:ascii="Arial" w:hAnsi="Arial" w:cs="Arial" w:hint="eastAsia"/>
          <w:sz w:val="24"/>
          <w:szCs w:val="24"/>
        </w:rPr>
        <w:t>月</w:t>
      </w:r>
      <w:r w:rsidR="00F3376A">
        <w:rPr>
          <w:rFonts w:ascii="Arial" w:hAnsi="Arial" w:cs="Arial" w:hint="eastAsia"/>
          <w:sz w:val="24"/>
          <w:szCs w:val="24"/>
        </w:rPr>
        <w:t>4</w:t>
      </w:r>
      <w:r w:rsidR="00F3376A">
        <w:rPr>
          <w:rFonts w:ascii="Arial" w:hAnsi="Arial" w:cs="Arial" w:hint="eastAsia"/>
          <w:sz w:val="24"/>
          <w:szCs w:val="24"/>
        </w:rPr>
        <w:t>日起，本基金进入清算程序，停止办理申购、赎回、</w:t>
      </w:r>
      <w:r w:rsidR="00923D24">
        <w:rPr>
          <w:rFonts w:ascii="Arial" w:hAnsi="Arial" w:cs="Arial" w:hint="eastAsia"/>
          <w:sz w:val="24"/>
          <w:szCs w:val="24"/>
        </w:rPr>
        <w:t>转换、</w:t>
      </w:r>
      <w:r w:rsidR="00F3376A">
        <w:rPr>
          <w:rFonts w:ascii="Arial" w:hAnsi="Arial" w:cs="Arial" w:hint="eastAsia"/>
          <w:sz w:val="24"/>
          <w:szCs w:val="24"/>
        </w:rPr>
        <w:t>定期定额投资等业务且不再恢复。本基金进入清算程序后，停止收取基金管理费、基金托管费和</w:t>
      </w:r>
      <w:r w:rsidR="00F3376A">
        <w:rPr>
          <w:rFonts w:ascii="Arial" w:hAnsi="Arial" w:cs="Arial" w:hint="eastAsia"/>
          <w:sz w:val="24"/>
          <w:szCs w:val="24"/>
        </w:rPr>
        <w:t>C</w:t>
      </w:r>
      <w:r w:rsidR="00F3376A">
        <w:rPr>
          <w:rFonts w:ascii="Arial" w:hAnsi="Arial" w:cs="Arial" w:hint="eastAsia"/>
          <w:sz w:val="24"/>
          <w:szCs w:val="24"/>
        </w:rPr>
        <w:t>类基金份额的销售服务费。</w:t>
      </w:r>
    </w:p>
    <w:p w:rsidR="00B834F8" w:rsidRDefault="00F3376A">
      <w:pPr>
        <w:spacing w:line="360" w:lineRule="auto"/>
        <w:ind w:firstLineChars="200" w:firstLine="482"/>
        <w:rPr>
          <w:rFonts w:ascii="Arial" w:hAnsi="Arial" w:cs="Arial"/>
          <w:b/>
          <w:bCs/>
          <w:sz w:val="24"/>
          <w:szCs w:val="24"/>
        </w:rPr>
      </w:pPr>
      <w:r>
        <w:rPr>
          <w:rFonts w:ascii="Arial" w:hAnsi="Arial" w:cs="Arial" w:hint="eastAsia"/>
          <w:b/>
          <w:bCs/>
          <w:sz w:val="24"/>
          <w:szCs w:val="24"/>
        </w:rPr>
        <w:t>三、终止《基金合同》的技术可行性</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本基金进入清算程序后，根据基金合同中有关基金财产清算的规定，成立基金财产清算小组。基金财产清算小组成员由基金管理人、基金托管人、符合《中国人民共和国证券法》规定的注册会计师、律师以及中国证监会指定的人员组成。基金财产清算小组可以聘用必要的工作人员。本基金的基金管理人、基金托管人已就财产清算的有关事项进行了充分准备，技术可行。清算报告将由会计师事务所进行外部审计，律师事务所出具法律意见书，报中国证券监督管理委员会备案并公告。</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因此，终止《基金合同》不存在技术方面的障碍。</w:t>
      </w:r>
    </w:p>
    <w:p w:rsidR="00B834F8" w:rsidRDefault="00F3376A">
      <w:pPr>
        <w:spacing w:line="360" w:lineRule="auto"/>
        <w:ind w:firstLineChars="200" w:firstLine="482"/>
        <w:rPr>
          <w:rFonts w:ascii="Arial" w:hAnsi="Arial" w:cs="Arial"/>
          <w:b/>
          <w:bCs/>
          <w:sz w:val="24"/>
          <w:szCs w:val="24"/>
        </w:rPr>
      </w:pPr>
      <w:r>
        <w:rPr>
          <w:rFonts w:ascii="Arial" w:hAnsi="Arial" w:cs="Arial" w:hint="eastAsia"/>
          <w:b/>
          <w:bCs/>
          <w:sz w:val="24"/>
          <w:szCs w:val="24"/>
        </w:rPr>
        <w:t>四、基金财产清算</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1</w:t>
      </w:r>
      <w:r>
        <w:rPr>
          <w:rFonts w:ascii="Arial" w:hAnsi="Arial" w:cs="Arial" w:hint="eastAsia"/>
          <w:sz w:val="24"/>
          <w:szCs w:val="24"/>
        </w:rPr>
        <w:t>、基金财产清算小组：自出现《基金合同》终止事由之日起</w:t>
      </w:r>
      <w:r>
        <w:rPr>
          <w:rFonts w:ascii="Arial" w:hAnsi="Arial" w:cs="Arial" w:hint="eastAsia"/>
          <w:sz w:val="24"/>
          <w:szCs w:val="24"/>
        </w:rPr>
        <w:t>30</w:t>
      </w:r>
      <w:r>
        <w:rPr>
          <w:rFonts w:ascii="Arial" w:hAnsi="Arial" w:cs="Arial" w:hint="eastAsia"/>
          <w:sz w:val="24"/>
          <w:szCs w:val="24"/>
        </w:rPr>
        <w:t>个工作日内成立基金财产清算小组，基金管理人组织基金财产清算小组并在中国证监会的监督下进行基金清算。在基金财产清算小组接管基金财产之前，基金管理人和基金托管人应按照基金合同和托管协议的</w:t>
      </w:r>
      <w:r w:rsidR="00923D24">
        <w:rPr>
          <w:rFonts w:ascii="Arial" w:hAnsi="Arial" w:cs="Arial" w:hint="eastAsia"/>
          <w:sz w:val="24"/>
          <w:szCs w:val="24"/>
        </w:rPr>
        <w:t>约定</w:t>
      </w:r>
      <w:r>
        <w:rPr>
          <w:rFonts w:ascii="Arial" w:hAnsi="Arial" w:cs="Arial" w:hint="eastAsia"/>
          <w:sz w:val="24"/>
          <w:szCs w:val="24"/>
        </w:rPr>
        <w:t>继续履行保护基金财产安全的职责。</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2</w:t>
      </w:r>
      <w:r>
        <w:rPr>
          <w:rFonts w:ascii="Arial" w:hAnsi="Arial" w:cs="Arial" w:hint="eastAsia"/>
          <w:sz w:val="24"/>
          <w:szCs w:val="24"/>
        </w:rPr>
        <w:t>、基金财产清算小组组成：基金财产清算小组成员由基金管理人、基金托管人、符合《中华人民共和国证券法》规定的注册会计师、律师以及中国证监会指定的人员组成。基金财产清算小组可以聘用必要的工作人员。</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3</w:t>
      </w:r>
      <w:r>
        <w:rPr>
          <w:rFonts w:ascii="Arial" w:hAnsi="Arial" w:cs="Arial" w:hint="eastAsia"/>
          <w:sz w:val="24"/>
          <w:szCs w:val="24"/>
        </w:rPr>
        <w:t>、基金财产清算小组职责：基金财产清算小组负责基金财产的保管、清理、估价、变现和分配。基金财产清算小组可以依法进行必要的民事活动。</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lastRenderedPageBreak/>
        <w:t>4</w:t>
      </w:r>
      <w:r>
        <w:rPr>
          <w:rFonts w:ascii="Arial" w:hAnsi="Arial" w:cs="Arial" w:hint="eastAsia"/>
          <w:sz w:val="24"/>
          <w:szCs w:val="24"/>
        </w:rPr>
        <w:t>、基金财产清算程序：</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1</w:t>
      </w:r>
      <w:r>
        <w:rPr>
          <w:rFonts w:ascii="Arial" w:hAnsi="Arial" w:cs="Arial" w:hint="eastAsia"/>
          <w:sz w:val="24"/>
          <w:szCs w:val="24"/>
        </w:rPr>
        <w:t>）《基金合同》终止情形出现时，由基金财产清算小组统一接管基金；</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2</w:t>
      </w:r>
      <w:r>
        <w:rPr>
          <w:rFonts w:ascii="Arial" w:hAnsi="Arial" w:cs="Arial" w:hint="eastAsia"/>
          <w:sz w:val="24"/>
          <w:szCs w:val="24"/>
        </w:rPr>
        <w:t>）对基金财产和债权债务进行清理和确认；</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3</w:t>
      </w:r>
      <w:r>
        <w:rPr>
          <w:rFonts w:ascii="Arial" w:hAnsi="Arial" w:cs="Arial" w:hint="eastAsia"/>
          <w:sz w:val="24"/>
          <w:szCs w:val="24"/>
        </w:rPr>
        <w:t>）对基金财产进行估值和变现；</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4</w:t>
      </w:r>
      <w:r>
        <w:rPr>
          <w:rFonts w:ascii="Arial" w:hAnsi="Arial" w:cs="Arial" w:hint="eastAsia"/>
          <w:sz w:val="24"/>
          <w:szCs w:val="24"/>
        </w:rPr>
        <w:t>）制作清算报告；</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5</w:t>
      </w:r>
      <w:r>
        <w:rPr>
          <w:rFonts w:ascii="Arial" w:hAnsi="Arial" w:cs="Arial" w:hint="eastAsia"/>
          <w:sz w:val="24"/>
          <w:szCs w:val="24"/>
        </w:rPr>
        <w:t>）聘请会计师事务所对清算报告进行外部审计，聘请律师事务所对清算报告出具法律意见书；</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6</w:t>
      </w:r>
      <w:r>
        <w:rPr>
          <w:rFonts w:ascii="Arial" w:hAnsi="Arial" w:cs="Arial" w:hint="eastAsia"/>
          <w:sz w:val="24"/>
          <w:szCs w:val="24"/>
        </w:rPr>
        <w:t>）将清算报告报中国证监会备案并公告；</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w:t>
      </w:r>
      <w:r>
        <w:rPr>
          <w:rFonts w:ascii="Arial" w:hAnsi="Arial" w:cs="Arial"/>
          <w:sz w:val="24"/>
          <w:szCs w:val="24"/>
        </w:rPr>
        <w:t>7</w:t>
      </w:r>
      <w:r>
        <w:rPr>
          <w:rFonts w:ascii="Arial" w:hAnsi="Arial" w:cs="Arial" w:hint="eastAsia"/>
          <w:sz w:val="24"/>
          <w:szCs w:val="24"/>
        </w:rPr>
        <w:t>）对基金剩余财产进行分配。</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5</w:t>
      </w:r>
      <w:r>
        <w:rPr>
          <w:rFonts w:ascii="Arial" w:hAnsi="Arial" w:cs="Arial" w:hint="eastAsia"/>
          <w:sz w:val="24"/>
          <w:szCs w:val="24"/>
        </w:rPr>
        <w:t>、基金财产清算的期限为</w:t>
      </w:r>
      <w:r>
        <w:rPr>
          <w:rFonts w:ascii="Arial" w:hAnsi="Arial" w:cs="Arial"/>
          <w:sz w:val="24"/>
          <w:szCs w:val="24"/>
        </w:rPr>
        <w:t>6</w:t>
      </w:r>
      <w:r>
        <w:rPr>
          <w:rFonts w:ascii="Arial" w:hAnsi="Arial" w:cs="Arial" w:hint="eastAsia"/>
          <w:sz w:val="24"/>
          <w:szCs w:val="24"/>
        </w:rPr>
        <w:t>个月，但因本基金所持证券的流动性受到限制而不能及时变现的，清算期限相应顺延。</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6</w:t>
      </w:r>
      <w:r>
        <w:rPr>
          <w:rFonts w:ascii="Arial" w:hAnsi="Arial" w:cs="Arial" w:hint="eastAsia"/>
          <w:sz w:val="24"/>
          <w:szCs w:val="24"/>
        </w:rPr>
        <w:t>、清算费用</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按照《基金合同》“第十九部分</w:t>
      </w:r>
      <w:r>
        <w:rPr>
          <w:rFonts w:ascii="Arial" w:hAnsi="Arial" w:cs="Arial"/>
          <w:sz w:val="24"/>
          <w:szCs w:val="24"/>
        </w:rPr>
        <w:t xml:space="preserve"> </w:t>
      </w:r>
      <w:r>
        <w:rPr>
          <w:rFonts w:ascii="Arial" w:hAnsi="Arial" w:cs="Arial" w:hint="eastAsia"/>
          <w:sz w:val="24"/>
          <w:szCs w:val="24"/>
        </w:rPr>
        <w:t>基金合同的变更、终止与基金财产的清算”的约定，清算费用是指基金财产清算小组在进行基金清算过程中发生的所有合理费用，清算费用由基金财产清算小组优先从基金剩余财产中支付。</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7</w:t>
      </w:r>
      <w:r>
        <w:rPr>
          <w:rFonts w:ascii="Arial" w:hAnsi="Arial" w:cs="Arial" w:hint="eastAsia"/>
          <w:sz w:val="24"/>
          <w:szCs w:val="24"/>
        </w:rPr>
        <w:t>、基金财产清算剩余资产的分配</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依据基金财产清算的分配方案，将基金财产清算后的全部剩余资产扣除基金财产清算费用、交纳所欠税款并清偿基金债务后，按基金份额持有人持有的基金份额比例进行分配。</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8</w:t>
      </w:r>
      <w:r>
        <w:rPr>
          <w:rFonts w:ascii="Arial" w:hAnsi="Arial" w:cs="Arial" w:hint="eastAsia"/>
          <w:sz w:val="24"/>
          <w:szCs w:val="24"/>
        </w:rPr>
        <w:t>、基金财产清算的公告</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清算过程中的有关重大事项须及时公告；基金财产清算报告经符合《中华人民共和国证券法》规定的会计师事务所审计并由律师事务所出具法律意见书后报中国证监会备案并公告。基金财产清算公告于基金财产清算报告报中国证监会备案后</w:t>
      </w:r>
      <w:r>
        <w:rPr>
          <w:rFonts w:ascii="Arial" w:hAnsi="Arial" w:cs="Arial" w:hint="eastAsia"/>
          <w:sz w:val="24"/>
          <w:szCs w:val="24"/>
        </w:rPr>
        <w:t>5</w:t>
      </w:r>
      <w:r>
        <w:rPr>
          <w:rFonts w:ascii="Arial" w:hAnsi="Arial" w:cs="Arial" w:hint="eastAsia"/>
          <w:sz w:val="24"/>
          <w:szCs w:val="24"/>
        </w:rPr>
        <w:t>个工作日内由基金财产清算小组进行公告。基金财产清算小组应当将清算报告登载在规定网站上，并将清算报告提示性公告登载在规定报刊上。</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9</w:t>
      </w:r>
      <w:r>
        <w:rPr>
          <w:rFonts w:ascii="Arial" w:hAnsi="Arial" w:cs="Arial" w:hint="eastAsia"/>
          <w:sz w:val="24"/>
          <w:szCs w:val="24"/>
        </w:rPr>
        <w:t>、基金财产清算账册及文件的保存</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基金财产清算账册及有关文件由基金托管人保存，保存期限不少于法律法规的规定</w:t>
      </w:r>
      <w:r w:rsidR="00C014B0">
        <w:rPr>
          <w:rFonts w:ascii="Arial" w:hAnsi="Arial" w:cs="Arial" w:hint="eastAsia"/>
          <w:sz w:val="24"/>
          <w:szCs w:val="24"/>
        </w:rPr>
        <w:t>的最低期限</w:t>
      </w:r>
      <w:r>
        <w:rPr>
          <w:rFonts w:ascii="Arial" w:hAnsi="Arial" w:cs="Arial" w:hint="eastAsia"/>
          <w:sz w:val="24"/>
          <w:szCs w:val="24"/>
        </w:rPr>
        <w:t>。</w:t>
      </w:r>
    </w:p>
    <w:p w:rsidR="00B834F8" w:rsidRDefault="00F3376A">
      <w:pPr>
        <w:spacing w:line="360" w:lineRule="auto"/>
        <w:ind w:firstLineChars="200" w:firstLine="482"/>
        <w:rPr>
          <w:rFonts w:ascii="Arial" w:hAnsi="Arial" w:cs="Arial"/>
          <w:b/>
          <w:bCs/>
          <w:sz w:val="24"/>
          <w:szCs w:val="24"/>
        </w:rPr>
      </w:pPr>
      <w:r>
        <w:rPr>
          <w:rFonts w:ascii="Arial" w:hAnsi="Arial" w:cs="Arial" w:hint="eastAsia"/>
          <w:b/>
          <w:bCs/>
          <w:sz w:val="24"/>
          <w:szCs w:val="24"/>
        </w:rPr>
        <w:t>五、其他</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1</w:t>
      </w:r>
      <w:r>
        <w:rPr>
          <w:rFonts w:ascii="Arial" w:hAnsi="Arial" w:cs="Arial" w:hint="eastAsia"/>
          <w:sz w:val="24"/>
          <w:szCs w:val="24"/>
        </w:rPr>
        <w:t>、本基金进入清算程序后如因本基金所持证券的流动性受限等客观因素影响，本基金将先以已变现基金资产为限进行分配，待本基金所持证券全部变现后进行再次分配。</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2</w:t>
      </w:r>
      <w:r>
        <w:rPr>
          <w:rFonts w:ascii="Arial" w:hAnsi="Arial" w:cs="Arial" w:hint="eastAsia"/>
          <w:sz w:val="24"/>
          <w:szCs w:val="24"/>
        </w:rPr>
        <w:t>、本基金进入清算程序后不再开放办理申购、赎回、</w:t>
      </w:r>
      <w:r w:rsidR="00923D24">
        <w:rPr>
          <w:rFonts w:ascii="Arial" w:hAnsi="Arial" w:cs="Arial" w:hint="eastAsia"/>
          <w:sz w:val="24"/>
          <w:szCs w:val="24"/>
        </w:rPr>
        <w:t>转换、</w:t>
      </w:r>
      <w:r>
        <w:rPr>
          <w:rFonts w:ascii="Arial" w:hAnsi="Arial" w:cs="Arial" w:hint="eastAsia"/>
          <w:sz w:val="24"/>
          <w:szCs w:val="24"/>
        </w:rPr>
        <w:t>定期定额投资等业务。敬请投资者予以关注。本公司承诺在清算过程中以诚实信用、勤勉尽责的原则履行相关职责。</w:t>
      </w:r>
    </w:p>
    <w:p w:rsidR="00B834F8" w:rsidRDefault="00F3376A">
      <w:pPr>
        <w:spacing w:line="360" w:lineRule="auto"/>
        <w:ind w:firstLineChars="200" w:firstLine="480"/>
        <w:rPr>
          <w:rFonts w:ascii="Arial" w:hAnsi="Arial" w:cs="Arial"/>
          <w:sz w:val="24"/>
          <w:szCs w:val="24"/>
        </w:rPr>
      </w:pPr>
      <w:r>
        <w:rPr>
          <w:rFonts w:ascii="Arial" w:hAnsi="Arial" w:cs="Arial"/>
          <w:sz w:val="24"/>
          <w:szCs w:val="24"/>
        </w:rPr>
        <w:t>3</w:t>
      </w:r>
      <w:r>
        <w:rPr>
          <w:rFonts w:ascii="Arial" w:hAnsi="Arial" w:cs="Arial" w:hint="eastAsia"/>
          <w:sz w:val="24"/>
          <w:szCs w:val="24"/>
        </w:rPr>
        <w:t>、投资者可通过本基金管理人公司网站：</w:t>
      </w:r>
      <w:r>
        <w:rPr>
          <w:rFonts w:ascii="Arial" w:hAnsi="Arial" w:cs="Arial"/>
          <w:sz w:val="24"/>
          <w:szCs w:val="24"/>
        </w:rPr>
        <w:t>www.honyfunds.com</w:t>
      </w:r>
      <w:r>
        <w:rPr>
          <w:rFonts w:ascii="Arial" w:hAnsi="Arial" w:cs="Arial" w:hint="eastAsia"/>
          <w:sz w:val="24"/>
          <w:szCs w:val="24"/>
        </w:rPr>
        <w:t>或拨打客户服务电话</w:t>
      </w:r>
      <w:r>
        <w:rPr>
          <w:rFonts w:ascii="Arial" w:hAnsi="Arial" w:cs="Arial"/>
          <w:sz w:val="24"/>
          <w:szCs w:val="24"/>
        </w:rPr>
        <w:t xml:space="preserve"> 400-920-8800</w:t>
      </w:r>
      <w:r>
        <w:rPr>
          <w:rFonts w:ascii="Arial" w:hAnsi="Arial" w:cs="Arial" w:hint="eastAsia"/>
          <w:sz w:val="24"/>
          <w:szCs w:val="24"/>
        </w:rPr>
        <w:t>（全国免长途话费）咨询相关信息。</w:t>
      </w:r>
    </w:p>
    <w:p w:rsidR="00B834F8" w:rsidRDefault="00B834F8">
      <w:pPr>
        <w:spacing w:line="360" w:lineRule="auto"/>
        <w:ind w:firstLineChars="200" w:firstLine="480"/>
        <w:rPr>
          <w:rFonts w:ascii="Arial" w:hAnsi="Arial" w:cs="Arial"/>
          <w:sz w:val="24"/>
          <w:szCs w:val="24"/>
        </w:rPr>
      </w:pP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风险提示：</w:t>
      </w: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本基金管理人承诺以诚实信用、勤勉尽责的原则管理和运用基金财产，但不保证基金一定盈利，也不保证最低收益。基金的过往业绩并不代表其将来表现，基金管理人管理的其他基金的业绩并不构成对本基金业绩表现的保证。投资有风险，敬请投资者认真阅读基金的相关法律文件，了解基金产品的详细情况，选择与自身风险识别能力和风险承受能力相匹配的基金产品进行投资。本公告的解释权归本基金管理人所有。</w:t>
      </w:r>
    </w:p>
    <w:p w:rsidR="00B834F8" w:rsidRDefault="00B834F8">
      <w:pPr>
        <w:spacing w:line="360" w:lineRule="auto"/>
        <w:ind w:firstLineChars="200" w:firstLine="480"/>
        <w:rPr>
          <w:rFonts w:ascii="Arial" w:hAnsi="Arial" w:cs="Arial"/>
          <w:sz w:val="24"/>
          <w:szCs w:val="24"/>
        </w:rPr>
      </w:pPr>
    </w:p>
    <w:p w:rsidR="00B834F8" w:rsidRDefault="00F3376A">
      <w:pPr>
        <w:spacing w:line="360" w:lineRule="auto"/>
        <w:ind w:firstLineChars="200" w:firstLine="480"/>
        <w:rPr>
          <w:rFonts w:ascii="Arial" w:hAnsi="Arial" w:cs="Arial"/>
          <w:sz w:val="24"/>
          <w:szCs w:val="24"/>
        </w:rPr>
      </w:pPr>
      <w:r>
        <w:rPr>
          <w:rFonts w:ascii="Arial" w:hAnsi="Arial" w:cs="Arial" w:hint="eastAsia"/>
          <w:sz w:val="24"/>
          <w:szCs w:val="24"/>
        </w:rPr>
        <w:t>特此公告。</w:t>
      </w:r>
    </w:p>
    <w:p w:rsidR="00B834F8" w:rsidRDefault="00B834F8">
      <w:pPr>
        <w:spacing w:line="360" w:lineRule="auto"/>
        <w:ind w:firstLineChars="200" w:firstLine="480"/>
        <w:rPr>
          <w:rFonts w:ascii="Arial" w:hAnsi="Arial" w:cs="Arial"/>
          <w:sz w:val="24"/>
          <w:szCs w:val="24"/>
        </w:rPr>
      </w:pPr>
    </w:p>
    <w:p w:rsidR="00B834F8" w:rsidRDefault="00F3376A">
      <w:pPr>
        <w:spacing w:line="360" w:lineRule="auto"/>
        <w:ind w:firstLineChars="200" w:firstLine="480"/>
        <w:jc w:val="right"/>
        <w:rPr>
          <w:rFonts w:ascii="Arial" w:hAnsi="Arial" w:cs="Arial"/>
          <w:sz w:val="24"/>
          <w:szCs w:val="24"/>
        </w:rPr>
      </w:pPr>
      <w:r>
        <w:rPr>
          <w:rFonts w:ascii="Arial" w:hAnsi="Arial" w:cs="Arial" w:hint="eastAsia"/>
          <w:sz w:val="24"/>
          <w:szCs w:val="24"/>
        </w:rPr>
        <w:t>弘毅远方基金管理有限公司</w:t>
      </w:r>
    </w:p>
    <w:p w:rsidR="00B834F8" w:rsidRDefault="00F3376A">
      <w:pPr>
        <w:spacing w:line="360" w:lineRule="auto"/>
        <w:ind w:firstLineChars="200" w:firstLine="480"/>
        <w:jc w:val="right"/>
        <w:rPr>
          <w:rFonts w:ascii="Arial" w:hAnsi="Arial" w:cs="Arial"/>
          <w:sz w:val="24"/>
          <w:szCs w:val="24"/>
        </w:rPr>
      </w:pPr>
      <w:r>
        <w:rPr>
          <w:rFonts w:ascii="Arial" w:hAnsi="Arial" w:cs="Arial"/>
          <w:sz w:val="24"/>
          <w:szCs w:val="24"/>
        </w:rPr>
        <w:t>2024</w:t>
      </w:r>
      <w:r>
        <w:rPr>
          <w:rFonts w:ascii="Arial" w:hAnsi="Arial" w:cs="Arial" w:hint="eastAsia"/>
          <w:sz w:val="24"/>
          <w:szCs w:val="24"/>
        </w:rPr>
        <w:t>年</w:t>
      </w:r>
      <w:r>
        <w:rPr>
          <w:rFonts w:ascii="Arial" w:hAnsi="Arial" w:cs="Arial" w:hint="eastAsia"/>
          <w:sz w:val="24"/>
          <w:szCs w:val="24"/>
        </w:rPr>
        <w:t>6</w:t>
      </w:r>
      <w:r>
        <w:rPr>
          <w:rFonts w:ascii="Arial" w:hAnsi="Arial" w:cs="Arial" w:hint="eastAsia"/>
          <w:sz w:val="24"/>
          <w:szCs w:val="24"/>
        </w:rPr>
        <w:t>月</w:t>
      </w:r>
      <w:r>
        <w:rPr>
          <w:rFonts w:ascii="Arial" w:hAnsi="Arial" w:cs="Arial" w:hint="eastAsia"/>
          <w:sz w:val="24"/>
          <w:szCs w:val="24"/>
        </w:rPr>
        <w:t>4</w:t>
      </w:r>
      <w:r>
        <w:rPr>
          <w:rFonts w:ascii="Arial" w:hAnsi="Arial" w:cs="Arial" w:hint="eastAsia"/>
          <w:sz w:val="24"/>
          <w:szCs w:val="24"/>
        </w:rPr>
        <w:t>日</w:t>
      </w:r>
    </w:p>
    <w:sectPr w:rsidR="00B834F8" w:rsidSect="00A24C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7182" w:rsidRDefault="00637182">
      <w:r>
        <w:separator/>
      </w:r>
    </w:p>
  </w:endnote>
  <w:endnote w:type="continuationSeparator" w:id="0">
    <w:p w:rsidR="00637182" w:rsidRDefault="0063718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7182" w:rsidRDefault="00637182">
      <w:r>
        <w:separator/>
      </w:r>
    </w:p>
  </w:footnote>
  <w:footnote w:type="continuationSeparator" w:id="0">
    <w:p w:rsidR="00637182" w:rsidRDefault="0063718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34F8"/>
    <w:rsid w:val="000261EE"/>
    <w:rsid w:val="00073E92"/>
    <w:rsid w:val="00096EB5"/>
    <w:rsid w:val="000B68A6"/>
    <w:rsid w:val="001179EE"/>
    <w:rsid w:val="001D50DF"/>
    <w:rsid w:val="002855AC"/>
    <w:rsid w:val="003D3F3F"/>
    <w:rsid w:val="003E4995"/>
    <w:rsid w:val="005464EE"/>
    <w:rsid w:val="005704CD"/>
    <w:rsid w:val="00637182"/>
    <w:rsid w:val="006B1B45"/>
    <w:rsid w:val="007F5578"/>
    <w:rsid w:val="0082313E"/>
    <w:rsid w:val="00923D24"/>
    <w:rsid w:val="009A04F1"/>
    <w:rsid w:val="00A169BE"/>
    <w:rsid w:val="00A24C51"/>
    <w:rsid w:val="00B11B6C"/>
    <w:rsid w:val="00B834F8"/>
    <w:rsid w:val="00BF7594"/>
    <w:rsid w:val="00C014B0"/>
    <w:rsid w:val="00DA26BA"/>
    <w:rsid w:val="00E35E6F"/>
    <w:rsid w:val="00F3376A"/>
    <w:rsid w:val="00FA24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4C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24C51"/>
  </w:style>
  <w:style w:type="paragraph" w:styleId="a4">
    <w:name w:val="header"/>
    <w:basedOn w:val="a"/>
    <w:link w:val="Char"/>
    <w:uiPriority w:val="99"/>
    <w:unhideWhenUsed/>
    <w:rsid w:val="00A24C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24C51"/>
    <w:rPr>
      <w:sz w:val="18"/>
      <w:szCs w:val="18"/>
    </w:rPr>
  </w:style>
  <w:style w:type="paragraph" w:styleId="a5">
    <w:name w:val="footer"/>
    <w:basedOn w:val="a"/>
    <w:link w:val="Char0"/>
    <w:uiPriority w:val="99"/>
    <w:unhideWhenUsed/>
    <w:rsid w:val="00A24C51"/>
    <w:pPr>
      <w:tabs>
        <w:tab w:val="center" w:pos="4153"/>
        <w:tab w:val="right" w:pos="8306"/>
      </w:tabs>
      <w:snapToGrid w:val="0"/>
      <w:jc w:val="left"/>
    </w:pPr>
    <w:rPr>
      <w:sz w:val="18"/>
      <w:szCs w:val="18"/>
    </w:rPr>
  </w:style>
  <w:style w:type="character" w:customStyle="1" w:styleId="Char0">
    <w:name w:val="页脚 Char"/>
    <w:basedOn w:val="a0"/>
    <w:link w:val="a5"/>
    <w:uiPriority w:val="99"/>
    <w:rsid w:val="00A24C51"/>
    <w:rPr>
      <w:sz w:val="18"/>
      <w:szCs w:val="18"/>
    </w:rPr>
  </w:style>
  <w:style w:type="paragraph" w:styleId="a6">
    <w:name w:val="Balloon Text"/>
    <w:basedOn w:val="a"/>
    <w:link w:val="Char1"/>
    <w:uiPriority w:val="99"/>
    <w:semiHidden/>
    <w:unhideWhenUsed/>
    <w:rsid w:val="00A24C51"/>
    <w:rPr>
      <w:sz w:val="18"/>
      <w:szCs w:val="18"/>
    </w:rPr>
  </w:style>
  <w:style w:type="character" w:customStyle="1" w:styleId="Char1">
    <w:name w:val="批注框文本 Char"/>
    <w:basedOn w:val="a0"/>
    <w:link w:val="a6"/>
    <w:uiPriority w:val="99"/>
    <w:semiHidden/>
    <w:rsid w:val="00A24C51"/>
    <w:rPr>
      <w:sz w:val="18"/>
      <w:szCs w:val="18"/>
    </w:rPr>
  </w:style>
  <w:style w:type="character" w:styleId="a7">
    <w:name w:val="annotation reference"/>
    <w:basedOn w:val="a0"/>
    <w:uiPriority w:val="99"/>
    <w:semiHidden/>
    <w:unhideWhenUsed/>
    <w:rsid w:val="00A24C51"/>
    <w:rPr>
      <w:sz w:val="21"/>
      <w:szCs w:val="21"/>
    </w:rPr>
  </w:style>
  <w:style w:type="paragraph" w:styleId="a8">
    <w:name w:val="annotation text"/>
    <w:basedOn w:val="a"/>
    <w:link w:val="Char2"/>
    <w:uiPriority w:val="99"/>
    <w:unhideWhenUsed/>
    <w:rsid w:val="00A24C51"/>
    <w:pPr>
      <w:jc w:val="left"/>
    </w:pPr>
  </w:style>
  <w:style w:type="character" w:customStyle="1" w:styleId="Char2">
    <w:name w:val="批注文字 Char"/>
    <w:basedOn w:val="a0"/>
    <w:link w:val="a8"/>
    <w:uiPriority w:val="99"/>
    <w:rsid w:val="00A24C51"/>
  </w:style>
  <w:style w:type="paragraph" w:styleId="a9">
    <w:name w:val="annotation subject"/>
    <w:basedOn w:val="a8"/>
    <w:next w:val="a8"/>
    <w:link w:val="Char3"/>
    <w:uiPriority w:val="99"/>
    <w:semiHidden/>
    <w:unhideWhenUsed/>
    <w:rsid w:val="00A24C51"/>
    <w:rPr>
      <w:b/>
      <w:bCs/>
    </w:rPr>
  </w:style>
  <w:style w:type="character" w:customStyle="1" w:styleId="Char3">
    <w:name w:val="批注主题 Char"/>
    <w:basedOn w:val="Char2"/>
    <w:link w:val="a9"/>
    <w:uiPriority w:val="99"/>
    <w:semiHidden/>
    <w:rsid w:val="00A24C51"/>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399</Words>
  <Characters>2277</Characters>
  <Application>Microsoft Office Word</Application>
  <DocSecurity>4</DocSecurity>
  <Lines>18</Lines>
  <Paragraphs>5</Paragraphs>
  <ScaleCrop>false</ScaleCrop>
  <Company/>
  <LinksUpToDate>false</LinksUpToDate>
  <CharactersWithSpaces>2671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 讷泽</dc:creator>
  <cp:keywords/>
  <dc:description/>
  <cp:lastModifiedBy>ZHONGM</cp:lastModifiedBy>
  <cp:revision>2</cp:revision>
  <dcterms:created xsi:type="dcterms:W3CDTF">2024-06-03T16:00:00Z</dcterms:created>
  <dcterms:modified xsi:type="dcterms:W3CDTF">2024-06-03T16:00:00Z</dcterms:modified>
</cp:coreProperties>
</file>