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18F1" w:rsidRDefault="009918F1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9918F1" w:rsidRDefault="000936F1">
      <w:pPr>
        <w:jc w:val="center"/>
      </w:pPr>
      <w:r>
        <w:rPr>
          <w:rFonts w:cs="Times New Roman" w:hint="eastAsia"/>
          <w:b/>
          <w:sz w:val="48"/>
          <w:szCs w:val="48"/>
        </w:rPr>
        <w:t>华富恒享纯债债券型证券投资基金暂停大额申购、大额转换转入、定期定额投资的公告</w:t>
      </w:r>
    </w:p>
    <w:p w:rsidR="009918F1" w:rsidRDefault="009918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18F1" w:rsidRDefault="009918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18F1" w:rsidRDefault="009918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18F1" w:rsidRDefault="009918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18F1" w:rsidRDefault="009918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18F1" w:rsidRDefault="009918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18F1" w:rsidRDefault="009918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18F1" w:rsidRDefault="009918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18F1" w:rsidRDefault="009918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18F1" w:rsidRDefault="009918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18F1" w:rsidRDefault="009918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18F1" w:rsidRDefault="009918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18F1" w:rsidRDefault="009918F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18F1" w:rsidRDefault="009918F1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公告送出日期：2024年6月4日</w:t>
      </w:r>
    </w:p>
    <w:p w:rsidR="009918F1" w:rsidRDefault="009918F1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b w:val="0"/>
          <w:bCs w:val="0"/>
          <w:color w:val="404040"/>
          <w:kern w:val="0"/>
        </w:rPr>
        <w:br w:type="page"/>
      </w:r>
      <w:bookmarkStart w:id="1" w:name="_Toc34322059"/>
      <w:bookmarkStart w:id="2" w:name="_Toc513295892"/>
      <w:bookmarkStart w:id="3" w:name="_Toc513295846"/>
      <w:bookmarkStart w:id="4" w:name="_Toc490050000"/>
      <w:bookmarkStart w:id="5" w:name="_Toc438646451"/>
      <w:bookmarkStart w:id="6" w:name="_Toc481075046"/>
      <w:bookmarkStart w:id="7" w:name="_Toc512519480"/>
      <w:bookmarkStart w:id="8" w:name="_Toc17897936"/>
      <w:bookmarkStart w:id="9" w:name="_Toc17898178"/>
      <w:bookmarkStart w:id="10" w:name="_Toc194311890"/>
      <w:bookmarkStart w:id="11" w:name="m01_01"/>
      <w:bookmarkStart w:id="12" w:name="m101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1196"/>
        <w:gridCol w:w="2965"/>
        <w:gridCol w:w="2965"/>
      </w:tblGrid>
      <w:tr w:rsidR="009918F1" w:rsidTr="000C4010">
        <w:trPr>
          <w:divId w:val="1400250719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hint="eastAsia"/>
              </w:rPr>
              <w:t>华富恒享纯债债券型证券投资基金</w:t>
            </w:r>
          </w:p>
        </w:tc>
      </w:tr>
      <w:tr w:rsidR="009918F1" w:rsidTr="000C4010">
        <w:trPr>
          <w:divId w:val="1400250719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hint="eastAsia"/>
              </w:rPr>
              <w:t>华富恒享纯债债券</w:t>
            </w:r>
          </w:p>
        </w:tc>
      </w:tr>
      <w:tr w:rsidR="009918F1" w:rsidTr="000C4010">
        <w:trPr>
          <w:divId w:val="1400250719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hint="eastAsia"/>
              </w:rPr>
              <w:t>019734</w:t>
            </w:r>
          </w:p>
        </w:tc>
      </w:tr>
      <w:tr w:rsidR="009918F1" w:rsidTr="000C4010">
        <w:trPr>
          <w:divId w:val="1400250719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hint="eastAsia"/>
              </w:rPr>
              <w:t>华富基金管理有限公司</w:t>
            </w:r>
          </w:p>
        </w:tc>
      </w:tr>
      <w:tr w:rsidR="009918F1" w:rsidTr="000C4010">
        <w:trPr>
          <w:divId w:val="1400250719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hint="eastAsia"/>
              </w:rPr>
              <w:t>根据《中华人民共和国证券投资基金法》《公开募集证券投资基金运作管理办法》《公开募集证券投资基金信息披露管理办法》《华富恒享纯债债券型证券投资基金基金合同》《华富恒享纯债债券型证券投资基金招募说明书》等有关规定</w:t>
            </w:r>
          </w:p>
        </w:tc>
      </w:tr>
      <w:tr w:rsidR="009918F1" w:rsidTr="000C4010">
        <w:trPr>
          <w:divId w:val="1400250719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hint="eastAsia"/>
              </w:rPr>
              <w:t>2024年06月05日</w:t>
            </w:r>
          </w:p>
        </w:tc>
      </w:tr>
      <w:tr w:rsidR="009918F1" w:rsidTr="000C4010">
        <w:trPr>
          <w:divId w:val="1400250719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F1" w:rsidRDefault="009918F1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hint="eastAsia"/>
              </w:rPr>
              <w:t>2024年06月05日</w:t>
            </w:r>
          </w:p>
        </w:tc>
      </w:tr>
      <w:tr w:rsidR="009918F1" w:rsidTr="000C4010">
        <w:trPr>
          <w:divId w:val="1400250719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F1" w:rsidRDefault="009918F1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hint="eastAsia"/>
              </w:rPr>
              <w:t>2024年06月05日</w:t>
            </w:r>
          </w:p>
        </w:tc>
      </w:tr>
      <w:tr w:rsidR="009918F1" w:rsidTr="000C4010">
        <w:trPr>
          <w:divId w:val="1400250719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F1" w:rsidRDefault="009918F1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ascii="Calibri" w:hAnsi="Calibri" w:hint="eastAsia"/>
              </w:rPr>
              <w:t>限制申购金额（单位：人民币元</w:t>
            </w:r>
            <w:r>
              <w:rPr>
                <w:rFonts w:hint="eastAsia"/>
              </w:rPr>
              <w:t xml:space="preserve"> </w:t>
            </w:r>
            <w:r w:rsidRPr="000C4010">
              <w:rPr>
                <w:rFonts w:ascii="Calibri" w:hAnsi="Calibri" w:hint="eastAsia"/>
              </w:rPr>
              <w:t>）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hint="eastAsia"/>
              </w:rPr>
              <w:t>5,000,000.00</w:t>
            </w:r>
          </w:p>
        </w:tc>
      </w:tr>
      <w:tr w:rsidR="009918F1" w:rsidTr="000C4010">
        <w:trPr>
          <w:divId w:val="1400250719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F1" w:rsidRDefault="009918F1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ascii="Calibri" w:hAnsi="Calibri" w:hint="eastAsia"/>
              </w:rPr>
              <w:t>限制转换转入金额（单位：人民币元</w:t>
            </w:r>
            <w:r>
              <w:rPr>
                <w:rFonts w:hint="eastAsia"/>
              </w:rPr>
              <w:t xml:space="preserve"> </w:t>
            </w:r>
            <w:r w:rsidRPr="000C4010"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hint="eastAsia"/>
              </w:rPr>
              <w:t>5,000,000.00</w:t>
            </w:r>
          </w:p>
        </w:tc>
      </w:tr>
      <w:tr w:rsidR="009918F1" w:rsidTr="000C4010">
        <w:trPr>
          <w:divId w:val="1400250719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F1" w:rsidRDefault="009918F1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ascii="Calibri" w:hAnsi="Calibri" w:hint="eastAsia"/>
              </w:rPr>
              <w:t>限制定期定额投资金额（单位：人民币元</w:t>
            </w:r>
            <w:r w:rsidRPr="000C4010">
              <w:rPr>
                <w:rFonts w:ascii="Calibri" w:hAnsi="Calibri" w:hint="eastAsia"/>
              </w:rPr>
              <w:t xml:space="preserve"> </w:t>
            </w:r>
            <w:r w:rsidRPr="000C4010"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hint="eastAsia"/>
              </w:rPr>
              <w:t>5,000,000.00</w:t>
            </w:r>
          </w:p>
        </w:tc>
      </w:tr>
      <w:tr w:rsidR="009918F1" w:rsidTr="000C4010">
        <w:trPr>
          <w:divId w:val="1400250719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8F1" w:rsidRDefault="009918F1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ascii="Calibri" w:hAnsi="Calibri" w:hint="eastAsia"/>
              </w:rPr>
              <w:t>暂停</w:t>
            </w:r>
            <w:r w:rsidR="009E5239">
              <w:rPr>
                <w:rFonts w:ascii="Calibri" w:hAnsi="Calibri" w:hint="eastAsia"/>
              </w:rPr>
              <w:t>大额申购、大额转换转入、定期定额投资</w:t>
            </w:r>
            <w:r w:rsidRPr="000C4010">
              <w:rPr>
                <w:rFonts w:ascii="Calibri" w:hAnsi="Calibri" w:hint="eastAsia"/>
              </w:rPr>
              <w:t>的原因说明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hint="eastAsia"/>
              </w:rPr>
              <w:t>为了保证基金的平稳运作，保护基金持有人的利益</w:t>
            </w:r>
          </w:p>
        </w:tc>
      </w:tr>
      <w:tr w:rsidR="009918F1" w:rsidTr="000C4010">
        <w:trPr>
          <w:divId w:val="1400250719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hint="eastAsia"/>
              </w:rPr>
              <w:t>华富恒享纯债债券A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hint="eastAsia"/>
              </w:rPr>
              <w:t>华富恒享纯债债券C</w:t>
            </w:r>
          </w:p>
        </w:tc>
      </w:tr>
      <w:tr w:rsidR="009918F1" w:rsidTr="000C4010">
        <w:trPr>
          <w:divId w:val="1400250719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hint="eastAsia"/>
              </w:rPr>
              <w:t>019734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hint="eastAsia"/>
              </w:rPr>
              <w:t>019735</w:t>
            </w:r>
          </w:p>
        </w:tc>
      </w:tr>
      <w:tr w:rsidR="009918F1" w:rsidTr="000C4010">
        <w:trPr>
          <w:divId w:val="1400250719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ascii="Calibri" w:hAnsi="Calibri" w:hint="eastAsia"/>
              </w:rPr>
              <w:t>该分级基金是否暂停</w:t>
            </w:r>
            <w:r w:rsidR="009E5239">
              <w:rPr>
                <w:rFonts w:ascii="Calibri" w:hAnsi="Calibri" w:hint="eastAsia"/>
              </w:rPr>
              <w:t>大额申购、大额转换转入、定期定额投资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918F1" w:rsidRDefault="009918F1">
            <w:pPr>
              <w:rPr>
                <w:rFonts w:hint="eastAsia"/>
              </w:rPr>
            </w:pPr>
            <w:r w:rsidRPr="000C4010">
              <w:rPr>
                <w:rFonts w:hint="eastAsia"/>
              </w:rPr>
              <w:t>是</w:t>
            </w:r>
          </w:p>
        </w:tc>
      </w:tr>
    </w:tbl>
    <w:p w:rsidR="009E5239" w:rsidRPr="00923F00" w:rsidRDefault="009E5239" w:rsidP="00923F00">
      <w:pPr>
        <w:pStyle w:val="XBRLTitle1"/>
        <w:numPr>
          <w:ilvl w:val="0"/>
          <w:numId w:val="0"/>
        </w:numPr>
        <w:spacing w:before="156" w:line="360" w:lineRule="auto"/>
        <w:ind w:left="425"/>
        <w:jc w:val="left"/>
      </w:pPr>
      <w:bookmarkStart w:id="13" w:name="_Toc34322063"/>
      <w:bookmarkStart w:id="14" w:name="_Toc513295941"/>
      <w:bookmarkStart w:id="15" w:name="_Toc513295878"/>
      <w:bookmarkStart w:id="16" w:name="_Toc438646481"/>
      <w:bookmarkStart w:id="17" w:name="_Toc481075097"/>
      <w:bookmarkStart w:id="18" w:name="_Toc490050049"/>
      <w:bookmarkStart w:id="19" w:name="_Toc512519529"/>
      <w:bookmarkStart w:id="20" w:name="_Toc17897969"/>
      <w:bookmarkStart w:id="21" w:name="_Toc17898228"/>
      <w:bookmarkStart w:id="22" w:name="m201_01"/>
    </w:p>
    <w:p w:rsidR="009918F1" w:rsidRDefault="009918F1">
      <w:pPr>
        <w:pStyle w:val="XBRLTitle1"/>
        <w:spacing w:before="156" w:line="360" w:lineRule="auto"/>
        <w:jc w:val="left"/>
        <w:rPr>
          <w:rFonts w:hint="eastAsia"/>
        </w:rPr>
      </w:pPr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9918F1" w:rsidRDefault="009918F1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本基金的所有代销机构及本基金的直销网点自2024年6月5日起，暂停接受单个基金账户对本基金日累计金额5,000,000.00元以上（不含5,000,000.00元，A类及C类金额合并计算）的申购、定投、转换转入业务申请，如单日单个基金账户累计的申购、定期定额投资、转换转入本基金金额超过人民币5,000,000.00元以上（不含5,000,000.00元，A类及C类金额合并计算），本基金管理人有权拒绝。</w:t>
      </w:r>
      <w:r>
        <w:rPr>
          <w:rFonts w:hint="eastAsia"/>
          <w:szCs w:val="21"/>
        </w:rPr>
        <w:br/>
        <w:t xml:space="preserve">　　除另有公告外，在暂停本基金的大额申购、定投和转换转入业务期间，本基金的赎回、转换转出等其它业务正常办理。</w:t>
      </w:r>
      <w:r>
        <w:rPr>
          <w:rFonts w:hint="eastAsia"/>
          <w:szCs w:val="21"/>
        </w:rPr>
        <w:br/>
        <w:t xml:space="preserve">　　基金的申购和定投及转换转入限额安排后续如有调整，请以本公司最新公告为准。</w:t>
      </w:r>
      <w:r>
        <w:rPr>
          <w:rFonts w:hint="eastAsia"/>
          <w:szCs w:val="21"/>
        </w:rPr>
        <w:br/>
        <w:t xml:space="preserve">　　如有疑问，请拨打客户服务热线：400-700-8001或登录网站www.hffund.com获取相关信息。 </w:t>
      </w:r>
      <w:r>
        <w:rPr>
          <w:rFonts w:hint="eastAsia"/>
          <w:szCs w:val="21"/>
        </w:rPr>
        <w:br/>
        <w:t xml:space="preserve">　　本公告的解释权归本基金管理人。</w:t>
      </w:r>
      <w:r>
        <w:rPr>
          <w:rFonts w:hint="eastAsia"/>
          <w:szCs w:val="21"/>
        </w:rPr>
        <w:br/>
        <w:t xml:space="preserve">　　风险提示：本公司承诺以诚实信用、勤勉尽责的原则管理和运用基金资产，但不保证基金一定盈利，也不保证最低收益。投资者投资基金之前应认真阅读各基金的《基金合同》、《招募说明书》、《基金产品资料概要》等文件。敬请投资者留意投资风险。</w:t>
      </w:r>
      <w:r>
        <w:rPr>
          <w:rFonts w:hint="eastAsia"/>
          <w:szCs w:val="21"/>
        </w:rPr>
        <w:br/>
        <w:t xml:space="preserve">　　特此公告。</w:t>
      </w:r>
    </w:p>
    <w:p w:rsidR="009918F1" w:rsidRDefault="009918F1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9918F1" w:rsidRDefault="009918F1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9918F1" w:rsidRDefault="009918F1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华富基金管理有限公司</w:t>
      </w:r>
    </w:p>
    <w:p w:rsidR="009918F1" w:rsidRDefault="009918F1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2024年6月4日</w:t>
      </w:r>
      <w:bookmarkEnd w:id="22"/>
      <w:r>
        <w:rPr>
          <w:rFonts w:hint="eastAsia"/>
          <w:b/>
          <w:bCs/>
          <w:sz w:val="24"/>
          <w:szCs w:val="24"/>
        </w:rPr>
        <w:t xml:space="preserve"> </w:t>
      </w:r>
    </w:p>
    <w:sectPr w:rsidR="009918F1">
      <w:headerReference w:type="default" r:id="rId8"/>
      <w:footerReference w:type="default" r:id="rId9"/>
      <w:headerReference w:type="first" r:id="rId10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0F" w:rsidRDefault="00F3200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endnote>
  <w:endnote w:type="continuationSeparator" w:id="0">
    <w:p w:rsidR="00F3200F" w:rsidRDefault="00F3200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F1" w:rsidRDefault="009918F1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56462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E56462">
      <w:rPr>
        <w:noProof/>
        <w:sz w:val="18"/>
        <w:szCs w:val="18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0F" w:rsidRDefault="00F3200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  <w:footnote w:type="continuationSeparator" w:id="0">
    <w:p w:rsidR="00F3200F" w:rsidRDefault="00F3200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F1" w:rsidRDefault="000936F1">
    <w:pPr>
      <w:pStyle w:val="a8"/>
      <w:jc w:val="right"/>
    </w:pPr>
    <w:r>
      <w:rPr>
        <w:rFonts w:hint="eastAsia"/>
      </w:rPr>
      <w:t>华富恒享纯债债券型证券投资基金暂停大额申购、大额转换转入、定期定额投资的公告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F1" w:rsidRDefault="000936F1">
    <w:pPr>
      <w:pStyle w:val="a8"/>
      <w:jc w:val="right"/>
      <w:rPr>
        <w:rFonts w:hint="eastAsia"/>
      </w:rPr>
    </w:pPr>
    <w:r>
      <w:rPr>
        <w:rFonts w:hint="eastAsia"/>
      </w:rPr>
      <w:t>华富恒享纯债债券型证券投资基金暂停大额申购、大额转换转入、定期定额投资的公告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010"/>
    <w:rsid w:val="000936F1"/>
    <w:rsid w:val="000C4010"/>
    <w:rsid w:val="00187A0D"/>
    <w:rsid w:val="002F59AE"/>
    <w:rsid w:val="008D3550"/>
    <w:rsid w:val="00923F00"/>
    <w:rsid w:val="009918F1"/>
    <w:rsid w:val="009E5239"/>
    <w:rsid w:val="00E15CEE"/>
    <w:rsid w:val="00E56462"/>
    <w:rsid w:val="00F3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2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2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13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link w:val="a6"/>
    <w:locked/>
    <w:rPr>
      <w:kern w:val="2"/>
      <w:sz w:val="18"/>
      <w:szCs w:val="18"/>
    </w:rPr>
  </w:style>
  <w:style w:type="paragraph" w:styleId="a8">
    <w:name w:val="header"/>
    <w:basedOn w:val="a"/>
    <w:link w:val="2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Pr>
      <w:kern w:val="2"/>
      <w:sz w:val="18"/>
      <w:szCs w:val="18"/>
    </w:rPr>
  </w:style>
  <w:style w:type="paragraph" w:styleId="aa">
    <w:name w:val="footer"/>
    <w:basedOn w:val="a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kern w:val="2"/>
      <w:sz w:val="18"/>
      <w:szCs w:val="18"/>
    </w:rPr>
  </w:style>
  <w:style w:type="paragraph" w:styleId="ac">
    <w:name w:val="Title"/>
    <w:basedOn w:val="1"/>
    <w:next w:val="2"/>
    <w:link w:val="15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ad">
    <w:name w:val="标题 字符"/>
    <w:link w:val="ac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paragraph" w:styleId="ae">
    <w:name w:val="Subtitle"/>
    <w:basedOn w:val="2"/>
    <w:next w:val="3"/>
    <w:link w:val="16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af">
    <w:name w:val="副标题 字符"/>
    <w:link w:val="ae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f0">
    <w:name w:val="Date"/>
    <w:basedOn w:val="a"/>
    <w:next w:val="a"/>
    <w:link w:val="17"/>
    <w:rPr>
      <w:sz w:val="32"/>
      <w:lang/>
    </w:rPr>
  </w:style>
  <w:style w:type="character" w:customStyle="1" w:styleId="af1">
    <w:name w:val="日期 字符"/>
    <w:link w:val="af0"/>
    <w:locked/>
    <w:rPr>
      <w:kern w:val="2"/>
      <w:sz w:val="21"/>
    </w:rPr>
  </w:style>
  <w:style w:type="paragraph" w:styleId="af2">
    <w:name w:val="Document Map"/>
    <w:basedOn w:val="a"/>
    <w:link w:val="18"/>
    <w:pPr>
      <w:shd w:val="clear" w:color="auto" w:fill="000080"/>
    </w:pPr>
  </w:style>
  <w:style w:type="character" w:customStyle="1" w:styleId="af3">
    <w:name w:val="文档结构图 字符"/>
    <w:link w:val="af2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4">
    <w:name w:val="Balloon Text"/>
    <w:basedOn w:val="a"/>
    <w:link w:val="19"/>
    <w:uiPriority w:val="99"/>
    <w:semiHidden/>
    <w:unhideWhenUsed/>
    <w:rPr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XBRLTitle6">
    <w:name w:val="XBRLTitle6"/>
    <w:basedOn w:val="ae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e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e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e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e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e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7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脚注文本 Char"/>
    <w:link w:val="a6"/>
    <w:locked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c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e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f0"/>
    <w:locked/>
    <w:rPr>
      <w:kern w:val="2"/>
      <w:sz w:val="21"/>
    </w:rPr>
  </w:style>
  <w:style w:type="character" w:customStyle="1" w:styleId="Char6">
    <w:name w:val="文档结构图 Char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f4"/>
    <w:uiPriority w:val="99"/>
    <w:semiHidden/>
    <w:locked/>
    <w:rPr>
      <w:kern w:val="2"/>
      <w:sz w:val="18"/>
      <w:szCs w:val="18"/>
    </w:rPr>
  </w:style>
  <w:style w:type="character" w:customStyle="1" w:styleId="11">
    <w:name w:val="标题 1 字符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1">
    <w:name w:val="标题 3 字符1"/>
    <w:link w:val="3"/>
    <w:uiPriority w:val="9"/>
    <w:locked/>
    <w:rPr>
      <w:b/>
      <w:bCs/>
      <w:sz w:val="32"/>
      <w:szCs w:val="32"/>
    </w:rPr>
  </w:style>
  <w:style w:type="character" w:customStyle="1" w:styleId="41">
    <w:name w:val="标题 4 字符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13">
    <w:name w:val="脚注文本 字符1"/>
    <w:link w:val="a6"/>
    <w:locked/>
    <w:rPr>
      <w:kern w:val="2"/>
      <w:sz w:val="18"/>
      <w:szCs w:val="18"/>
    </w:rPr>
  </w:style>
  <w:style w:type="character" w:customStyle="1" w:styleId="23">
    <w:name w:val="页眉 字符2"/>
    <w:link w:val="a8"/>
    <w:locked/>
    <w:rPr>
      <w:kern w:val="2"/>
      <w:sz w:val="18"/>
      <w:szCs w:val="18"/>
    </w:rPr>
  </w:style>
  <w:style w:type="character" w:customStyle="1" w:styleId="14">
    <w:name w:val="页脚 字符1"/>
    <w:link w:val="aa"/>
    <w:uiPriority w:val="99"/>
    <w:locked/>
    <w:rPr>
      <w:kern w:val="2"/>
      <w:sz w:val="18"/>
      <w:szCs w:val="18"/>
    </w:rPr>
  </w:style>
  <w:style w:type="character" w:customStyle="1" w:styleId="15">
    <w:name w:val="标题 字符1"/>
    <w:link w:val="ac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6">
    <w:name w:val="副标题 字符1"/>
    <w:link w:val="ae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17">
    <w:name w:val="日期 字符1"/>
    <w:link w:val="af0"/>
    <w:locked/>
    <w:rPr>
      <w:rFonts w:ascii="宋体" w:eastAsia="宋体" w:hAnsi="宋体" w:hint="eastAsia"/>
      <w:kern w:val="2"/>
      <w:sz w:val="32"/>
    </w:rPr>
  </w:style>
  <w:style w:type="character" w:customStyle="1" w:styleId="18">
    <w:name w:val="文档结构图 字符1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19">
    <w:name w:val="批注框文本 字符1"/>
    <w:link w:val="af4"/>
    <w:uiPriority w:val="99"/>
    <w:semiHidden/>
    <w:locked/>
    <w:rPr>
      <w:kern w:val="2"/>
      <w:sz w:val="18"/>
      <w:szCs w:val="18"/>
    </w:rPr>
  </w:style>
  <w:style w:type="character" w:customStyle="1" w:styleId="51">
    <w:name w:val="标题 5 字符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1">
    <w:name w:val="标题 6 字符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a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0">
    <w:name w:val="页眉 Char1"/>
    <w:locked/>
    <w:rPr>
      <w:kern w:val="2"/>
      <w:sz w:val="18"/>
      <w:szCs w:val="18"/>
    </w:rPr>
  </w:style>
  <w:style w:type="character" w:styleId="af9">
    <w:name w:val="annotation reference"/>
    <w:uiPriority w:val="99"/>
    <w:semiHidden/>
    <w:unhideWhenUsed/>
    <w:rsid w:val="009E5239"/>
    <w:rPr>
      <w:sz w:val="21"/>
      <w:szCs w:val="21"/>
    </w:rPr>
  </w:style>
  <w:style w:type="paragraph" w:styleId="afa">
    <w:name w:val="annotation text"/>
    <w:basedOn w:val="a"/>
    <w:link w:val="afb"/>
    <w:uiPriority w:val="99"/>
    <w:semiHidden/>
    <w:unhideWhenUsed/>
    <w:rsid w:val="009E5239"/>
    <w:pPr>
      <w:jc w:val="left"/>
    </w:pPr>
  </w:style>
  <w:style w:type="character" w:customStyle="1" w:styleId="afb">
    <w:name w:val="批注文字 字符"/>
    <w:link w:val="afa"/>
    <w:uiPriority w:val="99"/>
    <w:semiHidden/>
    <w:rsid w:val="009E5239"/>
    <w:rPr>
      <w:rFonts w:cs="宋体"/>
      <w:kern w:val="2"/>
      <w:sz w:val="21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E5239"/>
    <w:rPr>
      <w:b/>
      <w:bCs/>
    </w:rPr>
  </w:style>
  <w:style w:type="character" w:customStyle="1" w:styleId="afd">
    <w:name w:val="批注主题 字符"/>
    <w:link w:val="afc"/>
    <w:uiPriority w:val="99"/>
    <w:semiHidden/>
    <w:rsid w:val="009E5239"/>
    <w:rPr>
      <w:rFonts w:cs="宋体"/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5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173FD-7879-49DC-B820-E0B33E36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4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2024-06-03T16:02:00Z</dcterms:created>
  <dcterms:modified xsi:type="dcterms:W3CDTF">2024-06-03T16:02:00Z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