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A77" w:rsidRDefault="007A1A77">
      <w:pPr>
        <w:pStyle w:val="XBRL2"/>
        <w:spacing w:before="156"/>
        <w:rPr>
          <w:lang w:eastAsia="zh-CN"/>
        </w:rPr>
      </w:pPr>
      <w:bookmarkStart w:id="0" w:name="_Toc510201001"/>
      <w:bookmarkEnd w:id="0"/>
      <w:r>
        <w:rPr>
          <w:lang w:eastAsia="zh-CN"/>
        </w:rPr>
        <w:t xml:space="preserve">　</w:t>
      </w:r>
      <w:r>
        <w:rPr>
          <w:lang w:eastAsia="zh-CN"/>
        </w:rPr>
        <w:t xml:space="preserve"> </w:t>
      </w:r>
    </w:p>
    <w:p w:rsidR="007A1A77" w:rsidRDefault="007A1A77">
      <w:pPr>
        <w:jc w:val="center"/>
      </w:pPr>
      <w:r>
        <w:rPr>
          <w:rFonts w:cs="Times New Roman" w:hint="eastAsia"/>
          <w:b/>
          <w:sz w:val="48"/>
          <w:szCs w:val="48"/>
        </w:rPr>
        <w:t>银河基金管理有限公司关于银河收益证券投资基金基金经理变更的公告</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560" w:lineRule="exact"/>
        <w:jc w:val="center"/>
        <w:rPr>
          <w:rFonts w:hint="eastAsia"/>
          <w:color w:val="000000"/>
          <w:kern w:val="0"/>
          <w:sz w:val="18"/>
        </w:rPr>
      </w:pPr>
      <w:r>
        <w:rPr>
          <w:rFonts w:hint="eastAsia"/>
          <w:color w:val="000000"/>
          <w:kern w:val="0"/>
          <w:sz w:val="18"/>
        </w:rPr>
        <w:t xml:space="preserve">　 </w:t>
      </w:r>
    </w:p>
    <w:p w:rsidR="007A1A77" w:rsidRDefault="007A1A77">
      <w:pPr>
        <w:spacing w:line="360" w:lineRule="auto"/>
        <w:jc w:val="center"/>
        <w:rPr>
          <w:rFonts w:hint="eastAsia"/>
        </w:rPr>
      </w:pPr>
      <w:r>
        <w:rPr>
          <w:rFonts w:hint="eastAsia"/>
          <w:b/>
          <w:bCs/>
          <w:sz w:val="24"/>
          <w:szCs w:val="30"/>
        </w:rPr>
        <w:t>公告送出日期：2024年6月1日</w:t>
      </w:r>
    </w:p>
    <w:p w:rsidR="007A1A77" w:rsidRDefault="007A1A77">
      <w:pPr>
        <w:pStyle w:val="XBRLTitle1"/>
        <w:spacing w:before="156"/>
        <w:ind w:left="425"/>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m101"/>
      <w:bookmarkStart w:id="11" w:name="_Toc194311890"/>
      <w:bookmarkStart w:id="12" w:name="m01_01"/>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7A1A77">
        <w:tc>
          <w:tcPr>
            <w:tcW w:w="2518" w:type="dxa"/>
            <w:tcBorders>
              <w:top w:val="single" w:sz="4" w:space="0" w:color="000000"/>
              <w:left w:val="single" w:sz="4" w:space="0" w:color="000000"/>
              <w:bottom w:val="single" w:sz="4" w:space="0" w:color="000000"/>
              <w:right w:val="single" w:sz="4" w:space="0" w:color="000000"/>
            </w:tcBorders>
            <w:hideMark/>
          </w:tcPr>
          <w:p w:rsidR="007A1A77" w:rsidRDefault="007A1A77">
            <w:pPr>
              <w:spacing w:line="312" w:lineRule="exact"/>
              <w:rPr>
                <w:rFonts w:hint="eastAsia"/>
              </w:rPr>
            </w:pPr>
            <w:r w:rsidRPr="00DA075F">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A1A77" w:rsidRDefault="007A1A77">
            <w:pPr>
              <w:spacing w:line="312" w:lineRule="exact"/>
              <w:rPr>
                <w:rFonts w:hint="eastAsia"/>
              </w:rPr>
            </w:pPr>
            <w:r w:rsidRPr="00DA075F">
              <w:rPr>
                <w:rFonts w:hint="eastAsia"/>
                <w:color w:val="000000"/>
                <w:kern w:val="0"/>
                <w:szCs w:val="21"/>
              </w:rPr>
              <w:t>银河收益证券投资基金</w:t>
            </w:r>
          </w:p>
        </w:tc>
      </w:tr>
      <w:tr w:rsidR="007A1A77">
        <w:tc>
          <w:tcPr>
            <w:tcW w:w="2518" w:type="dxa"/>
            <w:tcBorders>
              <w:top w:val="single" w:sz="4" w:space="0" w:color="000000"/>
              <w:left w:val="single" w:sz="4" w:space="0" w:color="000000"/>
              <w:bottom w:val="single" w:sz="4" w:space="0" w:color="000000"/>
              <w:right w:val="single" w:sz="4" w:space="0" w:color="000000"/>
            </w:tcBorders>
            <w:hideMark/>
          </w:tcPr>
          <w:p w:rsidR="007A1A77" w:rsidRDefault="007A1A77">
            <w:pPr>
              <w:spacing w:line="312" w:lineRule="exact"/>
              <w:rPr>
                <w:rFonts w:hint="eastAsia"/>
              </w:rPr>
            </w:pPr>
            <w:r w:rsidRPr="00DA075F">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A1A77" w:rsidRDefault="007A1A77">
            <w:pPr>
              <w:spacing w:line="312" w:lineRule="exact"/>
              <w:rPr>
                <w:rFonts w:hint="eastAsia"/>
              </w:rPr>
            </w:pPr>
            <w:r w:rsidRPr="00DA075F">
              <w:rPr>
                <w:rFonts w:hint="eastAsia"/>
                <w:color w:val="000000"/>
                <w:kern w:val="0"/>
                <w:szCs w:val="21"/>
              </w:rPr>
              <w:t>银河收益混合</w:t>
            </w:r>
          </w:p>
        </w:tc>
      </w:tr>
      <w:tr w:rsidR="007A1A77">
        <w:tc>
          <w:tcPr>
            <w:tcW w:w="2518" w:type="dxa"/>
            <w:tcBorders>
              <w:top w:val="single" w:sz="4" w:space="0" w:color="000000"/>
              <w:left w:val="single" w:sz="4" w:space="0" w:color="000000"/>
              <w:bottom w:val="single" w:sz="4" w:space="0" w:color="000000"/>
              <w:right w:val="single" w:sz="4" w:space="0" w:color="000000"/>
            </w:tcBorders>
            <w:hideMark/>
          </w:tcPr>
          <w:p w:rsidR="007A1A77" w:rsidRDefault="007A1A77">
            <w:pPr>
              <w:spacing w:line="312" w:lineRule="exact"/>
              <w:rPr>
                <w:rFonts w:hint="eastAsia"/>
              </w:rPr>
            </w:pPr>
            <w:r w:rsidRPr="00DA075F">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A1A77" w:rsidRDefault="007A1A77">
            <w:pPr>
              <w:spacing w:line="312" w:lineRule="exact"/>
              <w:rPr>
                <w:rFonts w:hint="eastAsia"/>
              </w:rPr>
            </w:pPr>
            <w:r w:rsidRPr="00DA075F">
              <w:rPr>
                <w:rFonts w:hint="eastAsia"/>
                <w:color w:val="000000"/>
                <w:kern w:val="0"/>
                <w:szCs w:val="21"/>
              </w:rPr>
              <w:t>151002</w:t>
            </w:r>
          </w:p>
        </w:tc>
      </w:tr>
      <w:tr w:rsidR="007A1A77">
        <w:tc>
          <w:tcPr>
            <w:tcW w:w="2518" w:type="dxa"/>
            <w:tcBorders>
              <w:top w:val="single" w:sz="4" w:space="0" w:color="000000"/>
              <w:left w:val="single" w:sz="4" w:space="0" w:color="000000"/>
              <w:bottom w:val="single" w:sz="4" w:space="0" w:color="000000"/>
              <w:right w:val="single" w:sz="4" w:space="0" w:color="000000"/>
            </w:tcBorders>
            <w:hideMark/>
          </w:tcPr>
          <w:p w:rsidR="007A1A77" w:rsidRDefault="007A1A77">
            <w:pPr>
              <w:spacing w:line="312" w:lineRule="exact"/>
              <w:rPr>
                <w:rFonts w:hint="eastAsia"/>
              </w:rPr>
            </w:pPr>
            <w:r w:rsidRPr="00DA075F">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A1A77" w:rsidRDefault="007A1A77">
            <w:pPr>
              <w:spacing w:line="312" w:lineRule="exact"/>
              <w:rPr>
                <w:rFonts w:hint="eastAsia"/>
              </w:rPr>
            </w:pPr>
            <w:r w:rsidRPr="00DA075F">
              <w:rPr>
                <w:rFonts w:hint="eastAsia"/>
                <w:color w:val="000000"/>
                <w:kern w:val="0"/>
                <w:szCs w:val="21"/>
              </w:rPr>
              <w:t>银河基金管理有限公司</w:t>
            </w:r>
          </w:p>
        </w:tc>
      </w:tr>
      <w:tr w:rsidR="007A1A77">
        <w:tc>
          <w:tcPr>
            <w:tcW w:w="2518" w:type="dxa"/>
            <w:tcBorders>
              <w:top w:val="single" w:sz="4" w:space="0" w:color="000000"/>
              <w:left w:val="single" w:sz="4" w:space="0" w:color="000000"/>
              <w:bottom w:val="single" w:sz="4" w:space="0" w:color="000000"/>
              <w:right w:val="single" w:sz="4" w:space="0" w:color="000000"/>
            </w:tcBorders>
            <w:hideMark/>
          </w:tcPr>
          <w:p w:rsidR="007A1A77" w:rsidRDefault="007A1A77">
            <w:pPr>
              <w:spacing w:line="312" w:lineRule="exact"/>
              <w:rPr>
                <w:rFonts w:hint="eastAsia"/>
              </w:rPr>
            </w:pPr>
            <w:r w:rsidRPr="00DA075F">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A1A77" w:rsidRDefault="007A1A77">
            <w:pPr>
              <w:spacing w:line="312" w:lineRule="exact"/>
              <w:rPr>
                <w:rFonts w:hint="eastAsia"/>
              </w:rPr>
            </w:pPr>
            <w:r>
              <w:rPr>
                <w:rFonts w:hint="eastAsia"/>
                <w:szCs w:val="21"/>
              </w:rPr>
              <w:t>《公开募集证券投资基金信息披露管理办法》、《证券期货经营机构投资管理人员注册登记规则》等</w:t>
            </w:r>
          </w:p>
        </w:tc>
      </w:tr>
      <w:tr w:rsidR="007A1A77">
        <w:tc>
          <w:tcPr>
            <w:tcW w:w="2518" w:type="dxa"/>
            <w:tcBorders>
              <w:top w:val="single" w:sz="4" w:space="0" w:color="000000"/>
              <w:left w:val="single" w:sz="4" w:space="0" w:color="000000"/>
              <w:bottom w:val="single" w:sz="4" w:space="0" w:color="000000"/>
              <w:right w:val="single" w:sz="4" w:space="0" w:color="000000"/>
            </w:tcBorders>
            <w:hideMark/>
          </w:tcPr>
          <w:p w:rsidR="007A1A77" w:rsidRDefault="007A1A77">
            <w:pPr>
              <w:spacing w:line="312" w:lineRule="exact"/>
              <w:rPr>
                <w:rFonts w:hint="eastAsia"/>
              </w:rPr>
            </w:pPr>
            <w:r w:rsidRPr="00DA075F">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A1A77" w:rsidRDefault="007A1A77">
            <w:pPr>
              <w:spacing w:line="312" w:lineRule="exact"/>
              <w:rPr>
                <w:rFonts w:hint="eastAsia"/>
              </w:rPr>
            </w:pPr>
            <w:r w:rsidRPr="00DA075F">
              <w:rPr>
                <w:rFonts w:hint="eastAsia"/>
                <w:color w:val="000000"/>
                <w:kern w:val="0"/>
                <w:szCs w:val="21"/>
              </w:rPr>
              <w:t>增聘基金经理、解聘基金经理</w:t>
            </w:r>
          </w:p>
        </w:tc>
      </w:tr>
      <w:tr w:rsidR="007A1A77">
        <w:tc>
          <w:tcPr>
            <w:tcW w:w="2518" w:type="dxa"/>
            <w:tcBorders>
              <w:top w:val="single" w:sz="4" w:space="0" w:color="000000"/>
              <w:left w:val="single" w:sz="4" w:space="0" w:color="000000"/>
              <w:bottom w:val="single" w:sz="4" w:space="0" w:color="000000"/>
              <w:right w:val="single" w:sz="4" w:space="0" w:color="000000"/>
            </w:tcBorders>
            <w:hideMark/>
          </w:tcPr>
          <w:p w:rsidR="007A1A77" w:rsidRDefault="007A1A77">
            <w:pPr>
              <w:spacing w:line="312" w:lineRule="exact"/>
              <w:rPr>
                <w:rFonts w:hint="eastAsia"/>
              </w:rPr>
            </w:pPr>
            <w:r w:rsidRPr="00DA075F">
              <w:rPr>
                <w:rFonts w:hint="eastAsia"/>
                <w:color w:val="000000"/>
                <w:kern w:val="0"/>
                <w:szCs w:val="21"/>
              </w:rPr>
              <w:t xml:space="preserve">新任基金经理姓名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A1A77" w:rsidRDefault="007A1A77">
            <w:pPr>
              <w:spacing w:line="312" w:lineRule="exact"/>
              <w:rPr>
                <w:rFonts w:hint="eastAsia"/>
              </w:rPr>
            </w:pPr>
            <w:r w:rsidRPr="00DA075F">
              <w:rPr>
                <w:rFonts w:hint="eastAsia"/>
                <w:color w:val="000000"/>
                <w:kern w:val="0"/>
                <w:szCs w:val="21"/>
              </w:rPr>
              <w:t>郑可成</w:t>
            </w:r>
          </w:p>
        </w:tc>
      </w:tr>
      <w:tr w:rsidR="007A1A77">
        <w:tc>
          <w:tcPr>
            <w:tcW w:w="2518" w:type="dxa"/>
            <w:tcBorders>
              <w:top w:val="single" w:sz="4" w:space="0" w:color="000000"/>
              <w:left w:val="single" w:sz="4" w:space="0" w:color="000000"/>
              <w:bottom w:val="single" w:sz="4" w:space="0" w:color="000000"/>
              <w:right w:val="single" w:sz="4" w:space="0" w:color="000000"/>
            </w:tcBorders>
            <w:hideMark/>
          </w:tcPr>
          <w:p w:rsidR="007A1A77" w:rsidRDefault="007A1A77">
            <w:pPr>
              <w:spacing w:line="312" w:lineRule="exact"/>
              <w:rPr>
                <w:rFonts w:hint="eastAsia"/>
              </w:rPr>
            </w:pPr>
            <w:r w:rsidRPr="00DA075F">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A1A77" w:rsidRDefault="007A1A77">
            <w:pPr>
              <w:spacing w:line="312" w:lineRule="exact"/>
              <w:rPr>
                <w:rFonts w:hint="eastAsia"/>
              </w:rPr>
            </w:pPr>
            <w:r w:rsidRPr="00DA075F">
              <w:rPr>
                <w:rFonts w:hint="eastAsia"/>
                <w:color w:val="000000"/>
                <w:kern w:val="0"/>
                <w:szCs w:val="21"/>
              </w:rPr>
              <w:t>魏璇</w:t>
            </w:r>
          </w:p>
        </w:tc>
      </w:tr>
      <w:tr w:rsidR="007A1A77">
        <w:tc>
          <w:tcPr>
            <w:tcW w:w="2518" w:type="dxa"/>
            <w:tcBorders>
              <w:top w:val="single" w:sz="4" w:space="0" w:color="000000"/>
              <w:left w:val="single" w:sz="4" w:space="0" w:color="000000"/>
              <w:bottom w:val="single" w:sz="4" w:space="0" w:color="000000"/>
              <w:right w:val="single" w:sz="4" w:space="0" w:color="000000"/>
            </w:tcBorders>
            <w:hideMark/>
          </w:tcPr>
          <w:p w:rsidR="007A1A77" w:rsidRDefault="007A1A77">
            <w:pPr>
              <w:spacing w:line="312" w:lineRule="exact"/>
              <w:rPr>
                <w:rFonts w:hint="eastAsia"/>
              </w:rPr>
            </w:pPr>
            <w:r w:rsidRPr="00DA075F">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A1A77" w:rsidRDefault="007A1A77">
            <w:pPr>
              <w:spacing w:line="312" w:lineRule="exact"/>
              <w:rPr>
                <w:rFonts w:hint="eastAsia"/>
              </w:rPr>
            </w:pPr>
            <w:r w:rsidRPr="00DA075F">
              <w:rPr>
                <w:rFonts w:hint="eastAsia"/>
                <w:color w:val="000000"/>
                <w:kern w:val="0"/>
                <w:szCs w:val="21"/>
              </w:rPr>
              <w:t>石磊</w:t>
            </w:r>
          </w:p>
        </w:tc>
      </w:tr>
    </w:tbl>
    <w:p w:rsidR="007A1A77" w:rsidRDefault="007A1A77">
      <w:pPr>
        <w:pStyle w:val="XBRLTitle1"/>
        <w:spacing w:before="156" w:line="360" w:lineRule="auto"/>
        <w:ind w:left="425"/>
        <w:jc w:val="left"/>
        <w:rPr>
          <w:rFonts w:hint="eastAsia"/>
        </w:rPr>
      </w:pPr>
      <w:bookmarkStart w:id="13" w:name="_Toc34322060"/>
      <w:bookmarkStart w:id="14" w:name="_Toc513295893"/>
      <w:bookmarkStart w:id="15" w:name="_Toc513295847"/>
      <w:bookmarkStart w:id="16" w:name="_Toc490050001"/>
      <w:bookmarkStart w:id="17" w:name="_Toc438646452"/>
      <w:bookmarkStart w:id="18" w:name="_Toc481075047"/>
      <w:bookmarkStart w:id="19" w:name="_Toc512519481"/>
      <w:bookmarkStart w:id="20" w:name="_Toc17897937"/>
      <w:bookmarkStart w:id="21" w:name="_Toc17898179"/>
      <w:r>
        <w:rPr>
          <w:rFonts w:hAnsi="宋体" w:hint="eastAsia"/>
          <w:szCs w:val="24"/>
        </w:rPr>
        <w:t>新任基金经理的相关信息</w:t>
      </w:r>
      <w:bookmarkEnd w:id="10"/>
      <w:bookmarkEnd w:id="13"/>
      <w:bookmarkEnd w:id="14"/>
      <w:bookmarkEnd w:id="15"/>
      <w:bookmarkEnd w:id="16"/>
      <w:bookmarkEnd w:id="17"/>
      <w:bookmarkEnd w:id="18"/>
      <w:bookmarkEnd w:id="19"/>
      <w:bookmarkEnd w:id="20"/>
      <w:bookmarkEnd w:id="21"/>
      <w:r>
        <w:rPr>
          <w:rFonts w:hAnsi="宋体"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357"/>
        <w:gridCol w:w="1960"/>
        <w:gridCol w:w="1507"/>
        <w:gridCol w:w="1561"/>
      </w:tblGrid>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新任基金经理姓名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Pr>
                <w:rFonts w:hint="eastAsia"/>
                <w:szCs w:val="21"/>
              </w:rPr>
              <w:t>郑可成</w:t>
            </w:r>
          </w:p>
        </w:tc>
      </w:tr>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任职日期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sidRPr="00DA075F">
              <w:rPr>
                <w:rFonts w:hint="eastAsia"/>
                <w:color w:val="000000"/>
                <w:kern w:val="0"/>
                <w:szCs w:val="21"/>
              </w:rPr>
              <w:t>2024年06月01日</w:t>
            </w:r>
          </w:p>
        </w:tc>
      </w:tr>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证券从业年限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Pr>
                <w:rFonts w:hint="eastAsia"/>
                <w:szCs w:val="21"/>
              </w:rPr>
              <w:t>22年</w:t>
            </w:r>
          </w:p>
        </w:tc>
      </w:tr>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证券投资管理从业年限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Pr>
                <w:rFonts w:hint="eastAsia"/>
                <w:szCs w:val="21"/>
              </w:rPr>
              <w:t>15年</w:t>
            </w:r>
          </w:p>
        </w:tc>
      </w:tr>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过往从业经历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Pr>
                <w:rFonts w:hint="eastAsia"/>
                <w:szCs w:val="21"/>
              </w:rPr>
              <w:t>曾先后就职于闽发证券有限责任公司、福建儒林投资顾问有限公司、益民基金管理有限公司、华安基金管理有限公司，从事固定收益的研究、投资等工作。2023年3月加入银河基金管理有限公司，现任固定收益部总监。</w:t>
            </w:r>
          </w:p>
        </w:tc>
      </w:tr>
      <w:tr w:rsidR="007A1A77">
        <w:trPr>
          <w:divId w:val="2061859990"/>
          <w:trHeight w:val="342"/>
        </w:trPr>
        <w:tc>
          <w:tcPr>
            <w:tcW w:w="2518" w:type="dxa"/>
            <w:vMerge w:val="restart"/>
            <w:tcBorders>
              <w:top w:val="single" w:sz="4" w:space="0" w:color="auto"/>
              <w:left w:val="single" w:sz="4" w:space="0" w:color="auto"/>
              <w:bottom w:val="nil"/>
              <w:right w:val="single" w:sz="4" w:space="0" w:color="auto"/>
            </w:tcBorders>
            <w:vAlign w:val="center"/>
            <w:hideMark/>
          </w:tcPr>
          <w:p w:rsidR="007A1A77" w:rsidRDefault="007A1A77">
            <w:pPr>
              <w:spacing w:line="312" w:lineRule="exact"/>
              <w:rPr>
                <w:rFonts w:hint="eastAsia"/>
              </w:rPr>
            </w:pPr>
            <w:r w:rsidRPr="00DA075F">
              <w:rPr>
                <w:rFonts w:hint="eastAsia"/>
                <w:color w:val="000000"/>
                <w:kern w:val="0"/>
                <w:szCs w:val="21"/>
              </w:rPr>
              <w:t xml:space="preserve">其中：管理过公募基金的名称及期间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sidRPr="00DA075F">
              <w:rPr>
                <w:rFonts w:hint="eastAsia"/>
                <w:color w:val="000000"/>
                <w:kern w:val="0"/>
                <w:szCs w:val="21"/>
              </w:rPr>
              <w:t xml:space="preserve">基金主代码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sidRPr="00DA075F">
              <w:rPr>
                <w:rFonts w:hint="eastAsia"/>
                <w:color w:val="000000"/>
                <w:kern w:val="0"/>
                <w:szCs w:val="21"/>
              </w:rPr>
              <w:t xml:space="preserve">基金名称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sidRPr="00DA075F">
              <w:rPr>
                <w:rFonts w:hint="eastAsia"/>
                <w:color w:val="000000"/>
                <w:kern w:val="0"/>
                <w:szCs w:val="21"/>
              </w:rPr>
              <w:t xml:space="preserve">任职日期 </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sidRPr="00DA075F">
              <w:rPr>
                <w:rFonts w:hint="eastAsia"/>
                <w:color w:val="000000"/>
                <w:kern w:val="0"/>
                <w:szCs w:val="21"/>
              </w:rPr>
              <w:t xml:space="preserve">离任日期 </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018525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银河招益6个月持有期混合型证券投资基金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2024年5月17日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161505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银河通利债券型证券投资基金(LOF)</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2024年05月30日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010522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华安添禧一年持有期混合型证券投资基金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2021年6月4日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2023年3月28日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010813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华安添益一年持有期混合型证券投资基金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2021年3月9日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2023年3月28日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007746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华安现金润利浮动净值型发起式货币市场基金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2019年9月10日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2021年3月8日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000072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华安稳健回报混合型证券投资基金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2013年5月14日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2023年3月28日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040045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华安添鑫中短债债券型证券投资基金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2012年12月29日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2019年4月2日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001282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华安新机遇灵活配置混合型证券投资基金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2015年5月27日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2019年12月10日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001905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华安安益灵活配置混合型证券投资基金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2015年11月16日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2020年10月26日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001485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华安添颐混合型发起式证券投资基金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2015年6月16日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2019年12月10日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000708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华安安享灵活配置混合型证券投资基金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2017年2月8日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2022年9月2日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002153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华安安润灵活配置混合型证券投资基金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2016年10月31日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2018年1月26日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002398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华安安禧保本混合型证券投资基金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2016年4月13日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2017年7月3日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002363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华安安康保本混合型证券投资基金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2016年2月1日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2017年7月31日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002238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华安乐惠保本混合型证券投资基金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2015年12月30日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2018年1月2日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001905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华安安益保本混合型证券投资基金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2015年11月16日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2020年10月26日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001282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华安新机遇保本混合型证券投资基金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2015年5月27日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2019年12月10日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001312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华安新优选灵活配置混合型证券投资基金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2015年5月29日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2019年12月10日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001139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华安新动力灵活配置混合型证券投资基金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2015年3月24日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2022年5月16日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000873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华安现金宝货币市场基金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2017年3月10日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2019年8月30日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000227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华安年年红定期开放债券型证券投资基金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2014年8月30日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2019年12月10日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000072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华安保本混合型证券投资基金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2013年5月14日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2019年6月27日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040045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华安信用增强债券型证券投资基金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2012年12月29日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2019年2月25日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040038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华安日日鑫货币市场基金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2012年11月26日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2017年7月24日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040036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华安安心收益债券型证券投资基金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2012年9月7日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2023年3月28日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040019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华安稳固收益债券型证券投资基金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2010年12月21日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2023年3月27日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560001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益民货币市场基金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2008年4月7日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2009年7月11日</w:t>
            </w:r>
          </w:p>
        </w:tc>
      </w:tr>
      <w:tr w:rsidR="007A1A77">
        <w:trPr>
          <w:divId w:val="2061859990"/>
        </w:trPr>
        <w:tc>
          <w:tcPr>
            <w:tcW w:w="2518" w:type="dxa"/>
            <w:vMerge/>
            <w:tcBorders>
              <w:top w:val="single" w:sz="4" w:space="0" w:color="auto"/>
              <w:left w:val="single" w:sz="4" w:space="0" w:color="auto"/>
              <w:bottom w:val="nil"/>
              <w:right w:val="single" w:sz="4" w:space="0" w:color="auto"/>
            </w:tcBorders>
            <w:vAlign w:val="center"/>
            <w:hideMark/>
          </w:tcPr>
          <w:p w:rsidR="007A1A77" w:rsidRDefault="007A1A7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560005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益民多利债券型证券投资基金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2008年5月21日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jc w:val="center"/>
              <w:rPr>
                <w:rFonts w:hint="eastAsia"/>
              </w:rPr>
            </w:pPr>
            <w:r>
              <w:rPr>
                <w:rFonts w:hint="eastAsia"/>
                <w:szCs w:val="21"/>
              </w:rPr>
              <w:t>2009年7月11日</w:t>
            </w:r>
          </w:p>
        </w:tc>
      </w:tr>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是否曾被监管机构予以行政处罚或采取行政监管措施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Pr>
                <w:rFonts w:hint="eastAsia"/>
                <w:szCs w:val="21"/>
              </w:rPr>
              <w:t>否</w:t>
            </w:r>
          </w:p>
        </w:tc>
      </w:tr>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是否已取得基金从业资格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Pr>
                <w:rFonts w:hint="eastAsia"/>
                <w:szCs w:val="21"/>
              </w:rPr>
              <w:t>是</w:t>
            </w:r>
          </w:p>
        </w:tc>
      </w:tr>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取得的其他相关从业资格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Pr>
                <w:rFonts w:hint="eastAsia"/>
                <w:szCs w:val="21"/>
              </w:rPr>
              <w:t>-</w:t>
            </w:r>
          </w:p>
        </w:tc>
      </w:tr>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国籍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Pr>
                <w:rFonts w:hint="eastAsia"/>
                <w:szCs w:val="21"/>
              </w:rPr>
              <w:t>中国</w:t>
            </w:r>
          </w:p>
        </w:tc>
      </w:tr>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学历、学位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Pr>
                <w:rFonts w:hint="eastAsia"/>
                <w:szCs w:val="21"/>
              </w:rPr>
              <w:t>本科、硕士</w:t>
            </w:r>
          </w:p>
        </w:tc>
      </w:tr>
      <w:tr w:rsidR="007A1A77">
        <w:trPr>
          <w:divId w:val="2061859990"/>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是否已按规定在中国基金业协会注册/登记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Pr>
                <w:rFonts w:hint="eastAsia"/>
                <w:szCs w:val="21"/>
              </w:rPr>
              <w:t>是</w:t>
            </w:r>
          </w:p>
        </w:tc>
      </w:tr>
    </w:tbl>
    <w:p w:rsidR="007A1A77" w:rsidRDefault="007A1A77">
      <w:pPr>
        <w:spacing w:line="360" w:lineRule="auto"/>
        <w:jc w:val="center"/>
        <w:divId w:val="2061859990"/>
        <w:rPr>
          <w:rFonts w:hint="eastAsia"/>
          <w:sz w:val="28"/>
          <w:szCs w:val="30"/>
        </w:rPr>
      </w:pPr>
      <w:r>
        <w:rPr>
          <w:rFonts w:hint="eastAsia"/>
          <w:sz w:val="28"/>
          <w:szCs w:val="30"/>
        </w:rPr>
        <w:t xml:space="preserve">　 </w:t>
      </w:r>
    </w:p>
    <w:p w:rsidR="007A1A77" w:rsidRDefault="007A1A77">
      <w:pPr>
        <w:pStyle w:val="XBRLTitle1"/>
        <w:spacing w:before="156" w:line="360" w:lineRule="auto"/>
        <w:ind w:left="425"/>
        <w:jc w:val="left"/>
        <w:rPr>
          <w:rFonts w:hint="eastAsia"/>
        </w:rPr>
      </w:pPr>
      <w:bookmarkStart w:id="22" w:name="_Toc34322062"/>
      <w:bookmarkStart w:id="23" w:name="m401"/>
      <w:bookmarkStart w:id="24" w:name="m401_tab"/>
      <w:bookmarkStart w:id="25" w:name="m201"/>
      <w:bookmarkStart w:id="26" w:name="_Toc513295941"/>
      <w:bookmarkStart w:id="27" w:name="_Toc513295878"/>
      <w:bookmarkStart w:id="28" w:name="_Toc438646481"/>
      <w:bookmarkStart w:id="29" w:name="_Toc481075097"/>
      <w:bookmarkStart w:id="30" w:name="_Toc490050049"/>
      <w:bookmarkStart w:id="31" w:name="_Toc512519529"/>
      <w:bookmarkStart w:id="32" w:name="_Toc17897969"/>
      <w:bookmarkStart w:id="33" w:name="_Toc17898228"/>
      <w:bookmarkStart w:id="34" w:name="m201_01"/>
      <w:r>
        <w:rPr>
          <w:rFonts w:hAnsi="宋体" w:hint="eastAsia"/>
          <w:szCs w:val="24"/>
        </w:rPr>
        <w:t>离任基金经理的相关信息</w:t>
      </w:r>
      <w:bookmarkEnd w:id="22"/>
      <w:r>
        <w:rPr>
          <w:rFonts w:hAnsi="宋体" w:hint="eastAsia"/>
          <w:szCs w:val="24"/>
        </w:rPr>
        <w:t xml:space="preserve"> </w:t>
      </w:r>
      <w:bookmarkEnd w:id="11"/>
      <w:bookmarkEnd w:id="12"/>
      <w:bookmarkEnd w:id="23"/>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7A1A77">
        <w:trPr>
          <w:divId w:val="1433666869"/>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sidRPr="00DA075F">
              <w:rPr>
                <w:rFonts w:hint="eastAsia"/>
                <w:color w:val="000000"/>
                <w:kern w:val="0"/>
                <w:szCs w:val="21"/>
              </w:rPr>
              <w:t>石磊</w:t>
            </w:r>
          </w:p>
        </w:tc>
      </w:tr>
      <w:tr w:rsidR="007A1A77">
        <w:trPr>
          <w:divId w:val="1433666869"/>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sidRPr="00DA075F">
              <w:rPr>
                <w:rFonts w:hint="eastAsia"/>
                <w:color w:val="000000"/>
                <w:kern w:val="0"/>
                <w:szCs w:val="21"/>
              </w:rPr>
              <w:t>工作安排</w:t>
            </w:r>
          </w:p>
        </w:tc>
      </w:tr>
      <w:tr w:rsidR="007A1A77">
        <w:trPr>
          <w:divId w:val="1433666869"/>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sidRPr="00DA075F">
              <w:rPr>
                <w:rFonts w:hint="eastAsia"/>
                <w:color w:val="000000"/>
                <w:kern w:val="0"/>
                <w:szCs w:val="21"/>
              </w:rPr>
              <w:t>2024年6月1日</w:t>
            </w:r>
          </w:p>
        </w:tc>
      </w:tr>
      <w:tr w:rsidR="007A1A77">
        <w:trPr>
          <w:divId w:val="1433666869"/>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sidRPr="00DA075F">
              <w:rPr>
                <w:rFonts w:hint="eastAsia"/>
                <w:color w:val="000000"/>
                <w:kern w:val="0"/>
                <w:szCs w:val="21"/>
              </w:rPr>
              <w:t>继续担任公司旗下部分基金的基金经理</w:t>
            </w:r>
          </w:p>
        </w:tc>
      </w:tr>
      <w:tr w:rsidR="007A1A77">
        <w:trPr>
          <w:divId w:val="1433666869"/>
        </w:trPr>
        <w:tc>
          <w:tcPr>
            <w:tcW w:w="2518" w:type="dxa"/>
            <w:tcBorders>
              <w:top w:val="single" w:sz="4" w:space="0" w:color="auto"/>
              <w:left w:val="single" w:sz="4" w:space="0" w:color="auto"/>
              <w:bottom w:val="single" w:sz="4" w:space="0" w:color="auto"/>
              <w:right w:val="single" w:sz="4" w:space="0" w:color="auto"/>
            </w:tcBorders>
            <w:hideMark/>
          </w:tcPr>
          <w:p w:rsidR="007A1A77" w:rsidRDefault="007A1A77">
            <w:pPr>
              <w:spacing w:line="312" w:lineRule="exact"/>
              <w:rPr>
                <w:rFonts w:hint="eastAsia"/>
              </w:rPr>
            </w:pPr>
            <w:r w:rsidRPr="00DA075F">
              <w:rPr>
                <w:rFonts w:hint="eastAsia"/>
                <w:color w:val="000000"/>
                <w:kern w:val="0"/>
                <w:szCs w:val="21"/>
              </w:rPr>
              <w:t xml:space="preserve">是否已按规定在中国基金业协会办理变更手续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A1A77" w:rsidRDefault="007A1A77">
            <w:pPr>
              <w:spacing w:line="312" w:lineRule="exact"/>
              <w:rPr>
                <w:rFonts w:hint="eastAsia"/>
              </w:rPr>
            </w:pPr>
            <w:r w:rsidRPr="00DA075F">
              <w:rPr>
                <w:rFonts w:hint="eastAsia"/>
                <w:color w:val="000000"/>
                <w:kern w:val="0"/>
                <w:szCs w:val="21"/>
              </w:rPr>
              <w:t>是</w:t>
            </w:r>
          </w:p>
        </w:tc>
      </w:tr>
    </w:tbl>
    <w:p w:rsidR="007A1A77" w:rsidRDefault="007A1A77">
      <w:pPr>
        <w:spacing w:line="360" w:lineRule="auto"/>
        <w:jc w:val="center"/>
        <w:divId w:val="1433666869"/>
        <w:rPr>
          <w:rFonts w:hint="eastAsia"/>
          <w:sz w:val="28"/>
          <w:szCs w:val="30"/>
        </w:rPr>
      </w:pPr>
      <w:r>
        <w:rPr>
          <w:rFonts w:hint="eastAsia"/>
          <w:sz w:val="28"/>
          <w:szCs w:val="30"/>
        </w:rPr>
        <w:t xml:space="preserve">　 </w:t>
      </w:r>
    </w:p>
    <w:p w:rsidR="007A1A77" w:rsidRDefault="007A1A77">
      <w:pPr>
        <w:pStyle w:val="XBRLTitle1"/>
        <w:spacing w:before="156" w:line="360" w:lineRule="auto"/>
        <w:ind w:left="425"/>
        <w:jc w:val="left"/>
        <w:rPr>
          <w:rFonts w:hint="eastAsia"/>
        </w:rPr>
      </w:pPr>
      <w:bookmarkStart w:id="35" w:name="_Toc34322063"/>
      <w:r>
        <w:rPr>
          <w:rFonts w:hAnsi="宋体" w:hint="eastAsia"/>
          <w:szCs w:val="24"/>
        </w:rPr>
        <w:t>其他需要提示的事项</w:t>
      </w:r>
      <w:bookmarkEnd w:id="26"/>
      <w:bookmarkEnd w:id="27"/>
      <w:bookmarkEnd w:id="28"/>
      <w:bookmarkEnd w:id="29"/>
      <w:bookmarkEnd w:id="30"/>
      <w:bookmarkEnd w:id="31"/>
      <w:bookmarkEnd w:id="32"/>
      <w:bookmarkEnd w:id="33"/>
      <w:bookmarkEnd w:id="35"/>
      <w:r>
        <w:rPr>
          <w:rFonts w:hAnsi="宋体" w:hint="eastAsia"/>
          <w:szCs w:val="24"/>
        </w:rPr>
        <w:t xml:space="preserve"> </w:t>
      </w:r>
    </w:p>
    <w:p w:rsidR="007A1A77" w:rsidRDefault="007A1A77">
      <w:pPr>
        <w:spacing w:line="360" w:lineRule="auto"/>
        <w:ind w:firstLineChars="200" w:firstLine="420"/>
        <w:jc w:val="left"/>
        <w:rPr>
          <w:rFonts w:hint="eastAsia"/>
        </w:rPr>
      </w:pPr>
      <w:r>
        <w:rPr>
          <w:rFonts w:hint="eastAsia"/>
          <w:szCs w:val="21"/>
        </w:rPr>
        <w:t>无</w:t>
      </w:r>
    </w:p>
    <w:p w:rsidR="007A1A77" w:rsidRDefault="007A1A77">
      <w:pPr>
        <w:spacing w:line="360" w:lineRule="auto"/>
        <w:ind w:firstLineChars="600" w:firstLine="1446"/>
        <w:jc w:val="right"/>
        <w:rPr>
          <w:rFonts w:hint="eastAsia"/>
          <w:b/>
          <w:bCs/>
          <w:sz w:val="24"/>
          <w:szCs w:val="30"/>
        </w:rPr>
      </w:pPr>
      <w:r>
        <w:rPr>
          <w:rFonts w:hint="eastAsia"/>
          <w:b/>
          <w:bCs/>
          <w:sz w:val="24"/>
          <w:szCs w:val="30"/>
        </w:rPr>
        <w:t xml:space="preserve">　 </w:t>
      </w:r>
    </w:p>
    <w:p w:rsidR="007A1A77" w:rsidRDefault="007A1A77">
      <w:pPr>
        <w:spacing w:line="360" w:lineRule="auto"/>
        <w:ind w:firstLineChars="600" w:firstLine="1446"/>
        <w:jc w:val="right"/>
        <w:rPr>
          <w:rFonts w:hint="eastAsia"/>
          <w:b/>
          <w:bCs/>
          <w:sz w:val="24"/>
          <w:szCs w:val="30"/>
        </w:rPr>
      </w:pPr>
      <w:r>
        <w:rPr>
          <w:rFonts w:hint="eastAsia"/>
          <w:b/>
          <w:bCs/>
          <w:sz w:val="24"/>
          <w:szCs w:val="30"/>
        </w:rPr>
        <w:t xml:space="preserve">　 </w:t>
      </w:r>
    </w:p>
    <w:p w:rsidR="007A1A77" w:rsidRDefault="007A1A77">
      <w:pPr>
        <w:spacing w:line="360" w:lineRule="auto"/>
        <w:ind w:firstLineChars="600" w:firstLine="1446"/>
        <w:jc w:val="right"/>
        <w:rPr>
          <w:rFonts w:hint="eastAsia"/>
        </w:rPr>
      </w:pPr>
      <w:r>
        <w:rPr>
          <w:rFonts w:hint="eastAsia"/>
          <w:b/>
          <w:bCs/>
          <w:sz w:val="24"/>
          <w:szCs w:val="24"/>
        </w:rPr>
        <w:t>银河基金管理有限公司</w:t>
      </w:r>
    </w:p>
    <w:p w:rsidR="007A1A77" w:rsidRDefault="007A1A77">
      <w:pPr>
        <w:spacing w:line="360" w:lineRule="auto"/>
        <w:ind w:firstLineChars="600" w:firstLine="1446"/>
        <w:jc w:val="right"/>
        <w:rPr>
          <w:rFonts w:hint="eastAsia"/>
        </w:rPr>
      </w:pPr>
      <w:r>
        <w:rPr>
          <w:rFonts w:hint="eastAsia"/>
          <w:b/>
          <w:bCs/>
          <w:sz w:val="24"/>
          <w:szCs w:val="24"/>
        </w:rPr>
        <w:t>2024年6月1日</w:t>
      </w:r>
      <w:bookmarkEnd w:id="34"/>
      <w:r>
        <w:rPr>
          <w:rFonts w:hint="eastAsia"/>
          <w:b/>
          <w:bCs/>
          <w:sz w:val="24"/>
          <w:szCs w:val="24"/>
        </w:rPr>
        <w:t xml:space="preserve"> </w:t>
      </w:r>
    </w:p>
    <w:sectPr w:rsidR="007A1A77">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77" w:rsidRDefault="007A1A77">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7A1A77" w:rsidRDefault="007A1A77">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77" w:rsidRDefault="007A1A77">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77" w:rsidRDefault="007A1A77">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1</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p w:rsidR="007A1A77" w:rsidRDefault="007A1A77">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77" w:rsidRDefault="007A1A77">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7A1A77" w:rsidRDefault="007A1A77">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77" w:rsidRDefault="007A1A77">
    <w:pPr>
      <w:pStyle w:val="a8"/>
      <w:jc w:val="right"/>
    </w:pPr>
    <w:r>
      <w:rPr>
        <w:rFonts w:hint="eastAsia"/>
      </w:rPr>
      <w:t>银河基金管理有限公司关于银河收益证券投资基金基金经理变更的公告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77" w:rsidRDefault="007A1A77">
    <w:pPr>
      <w:pStyle w:val="a8"/>
      <w:jc w:val="right"/>
      <w:rPr>
        <w:rFonts w:hint="eastAsia"/>
      </w:rPr>
    </w:pPr>
    <w:r>
      <w:rPr>
        <w:rFonts w:hint="eastAsia"/>
      </w:rPr>
      <w:t>银河基金管理有限公司关于银河收益证券投资基金基金经理变更的公告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75F"/>
    <w:rsid w:val="00355B86"/>
    <w:rsid w:val="007A1A77"/>
    <w:rsid w:val="00DA07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character" w:customStyle="1" w:styleId="Char11">
    <w:name w:val="页脚 Char1"/>
    <w:uiPriority w:val="99"/>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433666869">
      <w:marLeft w:val="0"/>
      <w:marRight w:val="0"/>
      <w:marTop w:val="0"/>
      <w:marBottom w:val="0"/>
      <w:divBdr>
        <w:top w:val="none" w:sz="0" w:space="0" w:color="auto"/>
        <w:left w:val="none" w:sz="0" w:space="0" w:color="auto"/>
        <w:bottom w:val="none" w:sz="0" w:space="0" w:color="auto"/>
        <w:right w:val="none" w:sz="0" w:space="0" w:color="auto"/>
      </w:divBdr>
    </w:div>
    <w:div w:id="20618599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D221-CADD-4B2F-8387-6FA0C1C1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4</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2024-05-31T16:00:00Z</dcterms:created>
  <dcterms:modified xsi:type="dcterms:W3CDTF">2024-05-31T16:00:00Z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