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73C" w:rsidRDefault="00145E33">
      <w:pPr>
        <w:pStyle w:val="XBRL2"/>
        <w:spacing w:before="156"/>
      </w:pPr>
      <w:bookmarkStart w:id="0" w:name="_Toc510201001"/>
      <w:bookmarkEnd w:id="0"/>
      <w:r>
        <w:t xml:space="preserve">　</w:t>
      </w:r>
      <w:r>
        <w:t xml:space="preserve"> </w:t>
      </w:r>
    </w:p>
    <w:p w:rsidR="00D1573C" w:rsidRDefault="00145E33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 w:hint="eastAsia"/>
          <w:b/>
          <w:sz w:val="48"/>
          <w:szCs w:val="48"/>
        </w:rPr>
        <w:t>泰信天天收益货币市场基金暂停大额申购、大额转换转入、定期定额投资业务</w:t>
      </w:r>
    </w:p>
    <w:p w:rsidR="00D1573C" w:rsidRDefault="00145E33">
      <w:pPr>
        <w:jc w:val="center"/>
      </w:pPr>
      <w:r>
        <w:rPr>
          <w:rFonts w:cs="Times New Roman" w:hint="eastAsia"/>
          <w:b/>
          <w:sz w:val="48"/>
          <w:szCs w:val="48"/>
        </w:rPr>
        <w:t>公告</w:t>
      </w:r>
    </w:p>
    <w:p w:rsidR="00D1573C" w:rsidRDefault="00145E3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D1573C" w:rsidRDefault="00145E33">
      <w:pPr>
        <w:spacing w:line="360" w:lineRule="auto"/>
        <w:jc w:val="center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>
        <w:rPr>
          <w:rFonts w:hint="eastAsia"/>
          <w:b/>
          <w:bCs/>
          <w:sz w:val="24"/>
          <w:szCs w:val="30"/>
        </w:rPr>
        <w:t>2024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5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31</w:t>
      </w:r>
      <w:r>
        <w:rPr>
          <w:rFonts w:hint="eastAsia"/>
          <w:b/>
          <w:bCs/>
          <w:sz w:val="24"/>
          <w:szCs w:val="30"/>
        </w:rPr>
        <w:t>日</w:t>
      </w:r>
    </w:p>
    <w:p w:rsidR="00D1573C" w:rsidRDefault="00145E33">
      <w:pPr>
        <w:pStyle w:val="XBRLTitle1"/>
        <w:spacing w:before="156"/>
        <w:ind w:left="425"/>
        <w:jc w:val="left"/>
      </w:pPr>
      <w:bookmarkStart w:id="1" w:name="_Toc513295892"/>
      <w:bookmarkStart w:id="2" w:name="_Toc490050000"/>
      <w:bookmarkStart w:id="3" w:name="_Toc481075046"/>
      <w:bookmarkStart w:id="4" w:name="_Toc512519480"/>
      <w:bookmarkStart w:id="5" w:name="_Toc17897936"/>
      <w:bookmarkStart w:id="6" w:name="_Toc34322059"/>
      <w:bookmarkStart w:id="7" w:name="_Toc17898178"/>
      <w:bookmarkStart w:id="8" w:name="_Toc438646451"/>
      <w:bookmarkStart w:id="9" w:name="_Toc513295846"/>
      <w:bookmarkStart w:id="10" w:name="m101"/>
      <w:bookmarkStart w:id="11" w:name="_Toc194311890"/>
      <w:bookmarkStart w:id="12" w:name="m01_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5"/>
        <w:gridCol w:w="2069"/>
        <w:gridCol w:w="1843"/>
        <w:gridCol w:w="1842"/>
        <w:gridCol w:w="1676"/>
      </w:tblGrid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基金名称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泰信天天收益货币市场基金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基金简称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泰信天天收益货币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基金主代码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290001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基金管理人名称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泰信基金管理有限公司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公告依据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《公开募集证券投资基金信息披露管理办法》、《泰信天天收益货币市场基金基金合同》</w:t>
            </w:r>
          </w:p>
        </w:tc>
      </w:tr>
      <w:tr w:rsidR="00D1573C"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暂停相关业务的起始日、金额及原因说明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暂停大额申购起始日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2024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D1573C"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D1573C" w:rsidRDefault="00D1573C">
            <w:pPr>
              <w:widowControl/>
              <w:jc w:val="left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暂停大额转换转入起始日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2024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D1573C"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D1573C" w:rsidRDefault="00D1573C">
            <w:pPr>
              <w:widowControl/>
              <w:jc w:val="left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暂停定期定额投资起始日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2024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D1573C"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D1573C" w:rsidRDefault="00D1573C">
            <w:pPr>
              <w:widowControl/>
              <w:jc w:val="left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</w:tr>
      <w:tr w:rsidR="00D1573C"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D1573C" w:rsidRDefault="00D1573C">
            <w:pPr>
              <w:widowControl/>
              <w:jc w:val="left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</w:tr>
      <w:tr w:rsidR="00D1573C"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D1573C" w:rsidRDefault="00D1573C">
            <w:pPr>
              <w:widowControl/>
              <w:jc w:val="left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限制定期定额投资金额（单位：人民币元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</w:tr>
      <w:tr w:rsidR="00D1573C">
        <w:tc>
          <w:tcPr>
            <w:tcW w:w="1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D1573C" w:rsidRDefault="00D1573C">
            <w:pPr>
              <w:widowControl/>
              <w:jc w:val="left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暂停大额申购、大额转换转入、定期定额投资的原因说明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outset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为保证本基金的稳定运作，保护基金份额持有人利益。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下属分级基金的基金简称</w:t>
            </w:r>
          </w:p>
        </w:tc>
        <w:tc>
          <w:tcPr>
            <w:tcW w:w="184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泰信天天收益</w:t>
            </w: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1842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泰信天天收益</w:t>
            </w:r>
            <w:r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676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泰信天天收益</w:t>
            </w:r>
            <w:r>
              <w:rPr>
                <w:rFonts w:asciiTheme="minorEastAsia" w:eastAsiaTheme="minorEastAsia" w:hAnsiTheme="minorEastAsia" w:hint="eastAsia"/>
              </w:rPr>
              <w:t>E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下属分级基金的交易代码</w:t>
            </w:r>
          </w:p>
        </w:tc>
        <w:tc>
          <w:tcPr>
            <w:tcW w:w="184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290001</w:t>
            </w:r>
          </w:p>
        </w:tc>
        <w:tc>
          <w:tcPr>
            <w:tcW w:w="1842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002234</w:t>
            </w:r>
          </w:p>
        </w:tc>
        <w:tc>
          <w:tcPr>
            <w:tcW w:w="1676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002235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该分级基金是否暂停大额申购、大额转换转入、定期定额投资</w:t>
            </w:r>
          </w:p>
        </w:tc>
        <w:tc>
          <w:tcPr>
            <w:tcW w:w="184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842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676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hint="eastAsia"/>
              </w:rPr>
              <w:t>下属分级基金的限制申购金额（单位：人民币元）</w:t>
            </w:r>
          </w:p>
        </w:tc>
        <w:tc>
          <w:tcPr>
            <w:tcW w:w="1843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  <w:tc>
          <w:tcPr>
            <w:tcW w:w="1842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  <w:tc>
          <w:tcPr>
            <w:tcW w:w="1676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下属分级基金的限制转换转入金额（单位：人民币元）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  <w:tc>
          <w:tcPr>
            <w:tcW w:w="1842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  <w:tc>
          <w:tcPr>
            <w:tcW w:w="1676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  <w:tr w:rsidR="00D1573C"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3C" w:rsidRDefault="00145E33">
            <w:r>
              <w:rPr>
                <w:rFonts w:asciiTheme="minorHAnsi" w:eastAsiaTheme="minorEastAsia" w:hAnsiTheme="minorHAnsi" w:cs="Calibri"/>
              </w:rPr>
              <w:t>下属分级基金的限制定期定额投资金额（单位：人民币元）</w:t>
            </w:r>
          </w:p>
        </w:tc>
        <w:tc>
          <w:tcPr>
            <w:tcW w:w="1843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  <w:tc>
          <w:tcPr>
            <w:tcW w:w="1842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5,000,000.00</w:t>
            </w:r>
          </w:p>
        </w:tc>
        <w:tc>
          <w:tcPr>
            <w:tcW w:w="1676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573C" w:rsidRDefault="00145E33"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</w:tbl>
    <w:p w:rsidR="00D1573C" w:rsidRDefault="00145E33">
      <w:pPr>
        <w:pStyle w:val="XBRLTitle1"/>
        <w:spacing w:before="156" w:line="360" w:lineRule="auto"/>
        <w:ind w:left="425"/>
        <w:jc w:val="left"/>
      </w:pPr>
      <w:bookmarkStart w:id="13" w:name="_Toc438646481"/>
      <w:bookmarkStart w:id="14" w:name="_Toc481075097"/>
      <w:bookmarkStart w:id="15" w:name="_Toc17897969"/>
      <w:bookmarkStart w:id="16" w:name="_Toc513295878"/>
      <w:bookmarkStart w:id="17" w:name="_Toc34322063"/>
      <w:bookmarkStart w:id="18" w:name="_Toc512519529"/>
      <w:bookmarkStart w:id="19" w:name="_Toc513295941"/>
      <w:bookmarkStart w:id="20" w:name="_Toc490050049"/>
      <w:bookmarkStart w:id="21" w:name="_Toc17898228"/>
      <w:bookmarkStart w:id="22" w:name="m201_01"/>
      <w:r>
        <w:rPr>
          <w:rFonts w:hAnsi="宋体" w:hint="eastAsia"/>
          <w:szCs w:val="24"/>
        </w:rPr>
        <w:lastRenderedPageBreak/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D1573C" w:rsidRDefault="00145E33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szCs w:val="21"/>
        </w:rPr>
      </w:pPr>
      <w:bookmarkStart w:id="23" w:name="_GoBack"/>
      <w:r>
        <w:rPr>
          <w:rFonts w:hint="eastAsia"/>
          <w:szCs w:val="21"/>
        </w:rPr>
        <w:t>自</w:t>
      </w:r>
      <w:r>
        <w:rPr>
          <w:rFonts w:hint="eastAsia"/>
          <w:szCs w:val="21"/>
        </w:rPr>
        <w:t>2024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日起，泰信天天收益货币市场基金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以下简称“本基金”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限制非直销渠道单日单个基金账户累计金额</w:t>
      </w:r>
      <w:r>
        <w:rPr>
          <w:rFonts w:hint="eastAsia"/>
          <w:szCs w:val="21"/>
        </w:rPr>
        <w:t>5,000,000.00</w:t>
      </w:r>
      <w:r>
        <w:rPr>
          <w:rFonts w:hint="eastAsia"/>
          <w:szCs w:val="21"/>
        </w:rPr>
        <w:t>元以上的申购（含定期定额投资业务）及转换转入业务。如单日单个基金账户通过非直销渠道累计申购、定期定额投资及转换转入本基金金额超过</w:t>
      </w:r>
      <w:r>
        <w:rPr>
          <w:rFonts w:hint="eastAsia"/>
          <w:szCs w:val="21"/>
        </w:rPr>
        <w:t>5,000,000.00</w:t>
      </w:r>
      <w:r>
        <w:rPr>
          <w:rFonts w:hint="eastAsia"/>
          <w:szCs w:val="21"/>
        </w:rPr>
        <w:t>元，本基金管理人将有权拒绝。本基金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份额、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份额进行合并计算。</w:t>
      </w:r>
    </w:p>
    <w:p w:rsidR="00D1573C" w:rsidRDefault="00145E33">
      <w:pPr>
        <w:numPr>
          <w:ilvl w:val="0"/>
          <w:numId w:val="2"/>
        </w:numPr>
        <w:spacing w:line="360" w:lineRule="auto"/>
        <w:ind w:firstLineChars="200" w:firstLine="420"/>
        <w:jc w:val="left"/>
      </w:pPr>
      <w:r>
        <w:rPr>
          <w:rFonts w:hint="eastAsia"/>
          <w:szCs w:val="21"/>
        </w:rPr>
        <w:t>本基金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份额继续暂停办理申购、定期定额投资及转换转入业务，在本基金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份额暂停申购（含定期定额投资）及转换转入业务期间，本基金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份额其他业务正常办理。</w:t>
      </w:r>
      <w:r>
        <w:rPr>
          <w:rFonts w:hint="eastAsia"/>
          <w:szCs w:val="21"/>
        </w:rPr>
        <w:br/>
        <w:t xml:space="preserve">    3</w:t>
      </w:r>
      <w:r>
        <w:rPr>
          <w:rFonts w:hint="eastAsia"/>
          <w:szCs w:val="21"/>
        </w:rPr>
        <w:t>、本</w:t>
      </w:r>
      <w:r>
        <w:rPr>
          <w:rFonts w:hint="eastAsia"/>
          <w:szCs w:val="21"/>
        </w:rPr>
        <w:t>基金限制非直销渠道大额申购、定期定额投资及转换转入业务期间，其他业务正常办理。本基金恢复非直销渠道大额申购（含定期定额投资业务）及转换转入业务时间另行公告。</w:t>
      </w:r>
      <w:bookmarkEnd w:id="23"/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、投资者可登录本公司网站</w:t>
      </w:r>
      <w:r>
        <w:rPr>
          <w:rFonts w:hint="eastAsia"/>
          <w:szCs w:val="21"/>
        </w:rPr>
        <w:t>www.ftfund.com</w:t>
      </w:r>
      <w:r>
        <w:rPr>
          <w:rFonts w:hint="eastAsia"/>
          <w:szCs w:val="21"/>
        </w:rPr>
        <w:t>或拨打客户服务电话</w:t>
      </w:r>
      <w:r>
        <w:rPr>
          <w:rFonts w:hint="eastAsia"/>
          <w:szCs w:val="21"/>
        </w:rPr>
        <w:t>400-888-5988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021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38784566</w:t>
      </w:r>
      <w:r>
        <w:rPr>
          <w:rFonts w:hint="eastAsia"/>
          <w:szCs w:val="21"/>
        </w:rPr>
        <w:t>了解详细情况。本公告的解释权归本基金管理人。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特此公告。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</w:p>
    <w:p w:rsidR="00D1573C" w:rsidRDefault="00145E33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D1573C" w:rsidRDefault="00145E33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D1573C" w:rsidRDefault="00145E33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泰信基金管理有限公司</w:t>
      </w:r>
    </w:p>
    <w:p w:rsidR="00D1573C" w:rsidRDefault="00145E33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2024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31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D1573C" w:rsidSect="00D1573C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3C" w:rsidRDefault="00D1573C" w:rsidP="00D1573C">
      <w:r>
        <w:separator/>
      </w:r>
    </w:p>
  </w:endnote>
  <w:endnote w:type="continuationSeparator" w:id="0">
    <w:p w:rsidR="00D1573C" w:rsidRDefault="00D1573C" w:rsidP="00D1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3C" w:rsidRDefault="00145E33">
    <w:pPr>
      <w:jc w:val="center"/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 w:rsidR="00D1573C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 w:rsidR="00D1573C">
      <w:rPr>
        <w:rFonts w:hint="eastAsia"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1573C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 w:rsidR="00D1573C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 w:rsidR="00D1573C">
      <w:rPr>
        <w:rFonts w:hint="eastAsia"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1573C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3C" w:rsidRDefault="00D1573C" w:rsidP="00D1573C">
      <w:r>
        <w:separator/>
      </w:r>
    </w:p>
  </w:footnote>
  <w:footnote w:type="continuationSeparator" w:id="0">
    <w:p w:rsidR="00D1573C" w:rsidRDefault="00D1573C" w:rsidP="00D15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3C" w:rsidRDefault="00145E33">
    <w:pPr>
      <w:pStyle w:val="a7"/>
      <w:jc w:val="right"/>
    </w:pPr>
    <w:r>
      <w:rPr>
        <w:rFonts w:hint="eastAsia"/>
      </w:rPr>
      <w:t>泰信天天收益货币市场基金暂停大额申购、大额转换转入、定期定额投资业务公告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A7738C"/>
    <w:multiLevelType w:val="singleLevel"/>
    <w:tmpl w:val="DDA7738C"/>
    <w:lvl w:ilvl="0">
      <w:start w:val="1"/>
      <w:numFmt w:val="decimal"/>
      <w:suff w:val="nothing"/>
      <w:lvlText w:val="%1、"/>
      <w:lvlJc w:val="left"/>
    </w:lvl>
  </w:abstractNum>
  <w:abstractNum w:abstractNumId="1">
    <w:nsid w:val="547D73EE"/>
    <w:multiLevelType w:val="multilevel"/>
    <w:tmpl w:val="547D73EE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D3"/>
    <w:rsid w:val="00145E33"/>
    <w:rsid w:val="00460976"/>
    <w:rsid w:val="005C09D3"/>
    <w:rsid w:val="006841AC"/>
    <w:rsid w:val="007362C1"/>
    <w:rsid w:val="00741FD8"/>
    <w:rsid w:val="007967D2"/>
    <w:rsid w:val="0085165D"/>
    <w:rsid w:val="00A003C1"/>
    <w:rsid w:val="00AA1365"/>
    <w:rsid w:val="00C249BE"/>
    <w:rsid w:val="00D1573C"/>
    <w:rsid w:val="03D77693"/>
    <w:rsid w:val="047249F8"/>
    <w:rsid w:val="0B897957"/>
    <w:rsid w:val="0CC60D00"/>
    <w:rsid w:val="13C96385"/>
    <w:rsid w:val="140E1078"/>
    <w:rsid w:val="162D35F1"/>
    <w:rsid w:val="23135718"/>
    <w:rsid w:val="292D1F2E"/>
    <w:rsid w:val="33DA309D"/>
    <w:rsid w:val="4C8B4D21"/>
    <w:rsid w:val="55D944E9"/>
    <w:rsid w:val="5B4B6004"/>
    <w:rsid w:val="5C216AB1"/>
    <w:rsid w:val="6D031B69"/>
    <w:rsid w:val="79772A57"/>
    <w:rsid w:val="7E6C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3C"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rsid w:val="00D1573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1"/>
    <w:uiPriority w:val="9"/>
    <w:qFormat/>
    <w:rsid w:val="00D1573C"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1"/>
    <w:uiPriority w:val="9"/>
    <w:qFormat/>
    <w:rsid w:val="00D1573C"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1"/>
    <w:qFormat/>
    <w:rsid w:val="00D1573C"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rsid w:val="00D1573C"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rsid w:val="00D1573C"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qFormat/>
    <w:rsid w:val="00D1573C"/>
    <w:pPr>
      <w:shd w:val="clear" w:color="auto" w:fill="000080"/>
    </w:pPr>
  </w:style>
  <w:style w:type="paragraph" w:styleId="30">
    <w:name w:val="toc 3"/>
    <w:basedOn w:val="a"/>
    <w:next w:val="a"/>
    <w:uiPriority w:val="39"/>
    <w:semiHidden/>
    <w:unhideWhenUsed/>
    <w:qFormat/>
    <w:rsid w:val="00D1573C"/>
  </w:style>
  <w:style w:type="paragraph" w:styleId="a4">
    <w:name w:val="Date"/>
    <w:basedOn w:val="a"/>
    <w:next w:val="a"/>
    <w:link w:val="Char10"/>
    <w:qFormat/>
    <w:rsid w:val="00D1573C"/>
    <w:rPr>
      <w:sz w:val="32"/>
      <w:lang w:val="zh-CN"/>
    </w:rPr>
  </w:style>
  <w:style w:type="paragraph" w:styleId="a5">
    <w:name w:val="Balloon Text"/>
    <w:basedOn w:val="a"/>
    <w:link w:val="Char11"/>
    <w:uiPriority w:val="99"/>
    <w:semiHidden/>
    <w:unhideWhenUsed/>
    <w:qFormat/>
    <w:rsid w:val="00D1573C"/>
    <w:rPr>
      <w:sz w:val="18"/>
      <w:szCs w:val="18"/>
    </w:rPr>
  </w:style>
  <w:style w:type="paragraph" w:styleId="a6">
    <w:name w:val="footer"/>
    <w:basedOn w:val="a"/>
    <w:link w:val="Char12"/>
    <w:uiPriority w:val="99"/>
    <w:qFormat/>
    <w:rsid w:val="00D15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D15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D1573C"/>
    <w:pPr>
      <w:tabs>
        <w:tab w:val="right" w:leader="dot" w:pos="8835"/>
      </w:tabs>
    </w:pPr>
  </w:style>
  <w:style w:type="paragraph" w:styleId="a8">
    <w:name w:val="Subtitle"/>
    <w:basedOn w:val="2"/>
    <w:next w:val="3"/>
    <w:link w:val="Char13"/>
    <w:qFormat/>
    <w:rsid w:val="00D1573C"/>
    <w:pPr>
      <w:spacing w:before="240" w:after="60" w:line="312" w:lineRule="auto"/>
      <w:jc w:val="left"/>
    </w:pPr>
    <w:rPr>
      <w:bCs w:val="0"/>
      <w:kern w:val="24"/>
      <w:sz w:val="24"/>
    </w:rPr>
  </w:style>
  <w:style w:type="paragraph" w:styleId="a9">
    <w:name w:val="footnote text"/>
    <w:basedOn w:val="a"/>
    <w:link w:val="Char14"/>
    <w:rsid w:val="00D1573C"/>
    <w:pPr>
      <w:snapToGrid w:val="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semiHidden/>
    <w:unhideWhenUsed/>
    <w:qFormat/>
    <w:rsid w:val="00D1573C"/>
    <w:pPr>
      <w:ind w:leftChars="200" w:left="420"/>
    </w:pPr>
  </w:style>
  <w:style w:type="paragraph" w:styleId="aa">
    <w:name w:val="Normal (Web)"/>
    <w:basedOn w:val="a"/>
    <w:rsid w:val="00D1573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Title"/>
    <w:basedOn w:val="1"/>
    <w:next w:val="2"/>
    <w:link w:val="Char15"/>
    <w:uiPriority w:val="10"/>
    <w:qFormat/>
    <w:rsid w:val="00D1573C"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table" w:styleId="ac">
    <w:name w:val="Table Grid"/>
    <w:basedOn w:val="a1"/>
    <w:uiPriority w:val="59"/>
    <w:semiHidden/>
    <w:unhideWhenUsed/>
    <w:qFormat/>
    <w:rsid w:val="00D157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qFormat/>
    <w:rsid w:val="00D1573C"/>
    <w:rPr>
      <w:color w:val="800080" w:themeColor="followedHyperlink"/>
      <w:u w:val="single"/>
    </w:rPr>
  </w:style>
  <w:style w:type="character" w:styleId="ae">
    <w:name w:val="Hyperlink"/>
    <w:basedOn w:val="a0"/>
    <w:uiPriority w:val="99"/>
    <w:semiHidden/>
    <w:unhideWhenUsed/>
    <w:qFormat/>
    <w:rsid w:val="00D1573C"/>
    <w:rPr>
      <w:color w:val="0000FF"/>
      <w:u w:val="single"/>
    </w:rPr>
  </w:style>
  <w:style w:type="character" w:styleId="af">
    <w:name w:val="footnote reference"/>
    <w:qFormat/>
    <w:rsid w:val="00D1573C"/>
    <w:rPr>
      <w:vertAlign w:val="superscript"/>
    </w:rPr>
  </w:style>
  <w:style w:type="character" w:customStyle="1" w:styleId="11">
    <w:name w:val="标题 1 字符"/>
    <w:basedOn w:val="a0"/>
    <w:uiPriority w:val="9"/>
    <w:qFormat/>
    <w:locked/>
    <w:rsid w:val="00D1573C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uiPriority w:val="9"/>
    <w:qFormat/>
    <w:locked/>
    <w:rsid w:val="00D1573C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0">
    <w:name w:val="标题 5 字符"/>
    <w:basedOn w:val="a0"/>
    <w:uiPriority w:val="9"/>
    <w:semiHidden/>
    <w:qFormat/>
    <w:rsid w:val="00D1573C"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basedOn w:val="a0"/>
    <w:uiPriority w:val="9"/>
    <w:semiHidden/>
    <w:qFormat/>
    <w:rsid w:val="00D1573C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msonormal0">
    <w:name w:val="msonormal"/>
    <w:basedOn w:val="a"/>
    <w:qFormat/>
    <w:rsid w:val="00D1573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f0">
    <w:name w:val="脚注文本 字符"/>
    <w:basedOn w:val="a0"/>
    <w:qFormat/>
    <w:locked/>
    <w:rsid w:val="00D1573C"/>
    <w:rPr>
      <w:kern w:val="2"/>
      <w:sz w:val="18"/>
      <w:szCs w:val="18"/>
    </w:rPr>
  </w:style>
  <w:style w:type="character" w:customStyle="1" w:styleId="af1">
    <w:name w:val="页眉 字符"/>
    <w:basedOn w:val="a0"/>
    <w:uiPriority w:val="99"/>
    <w:qFormat/>
    <w:locked/>
    <w:rsid w:val="00D1573C"/>
    <w:rPr>
      <w:kern w:val="2"/>
      <w:sz w:val="18"/>
      <w:szCs w:val="18"/>
    </w:rPr>
  </w:style>
  <w:style w:type="character" w:customStyle="1" w:styleId="af2">
    <w:name w:val="页脚 字符"/>
    <w:basedOn w:val="a0"/>
    <w:uiPriority w:val="99"/>
    <w:qFormat/>
    <w:locked/>
    <w:rsid w:val="00D1573C"/>
    <w:rPr>
      <w:kern w:val="2"/>
      <w:sz w:val="18"/>
      <w:szCs w:val="18"/>
    </w:rPr>
  </w:style>
  <w:style w:type="character" w:customStyle="1" w:styleId="af3">
    <w:name w:val="标题 字符"/>
    <w:basedOn w:val="a0"/>
    <w:uiPriority w:val="10"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qFormat/>
    <w:locked/>
    <w:rsid w:val="00D1573C"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qFormat/>
    <w:locked/>
    <w:rsid w:val="00D1573C"/>
    <w:rPr>
      <w:kern w:val="2"/>
      <w:sz w:val="21"/>
    </w:rPr>
  </w:style>
  <w:style w:type="character" w:customStyle="1" w:styleId="af6">
    <w:name w:val="文档结构图 字符"/>
    <w:basedOn w:val="a0"/>
    <w:qFormat/>
    <w:locked/>
    <w:rsid w:val="00D1573C"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uiPriority w:val="99"/>
    <w:semiHidden/>
    <w:qFormat/>
    <w:locked/>
    <w:rsid w:val="00D1573C"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1573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/>
    </w:rPr>
  </w:style>
  <w:style w:type="paragraph" w:customStyle="1" w:styleId="XBRLTitle6">
    <w:name w:val="XBRLTitle6"/>
    <w:basedOn w:val="a8"/>
    <w:next w:val="4"/>
    <w:qFormat/>
    <w:rsid w:val="00D1573C"/>
    <w:pPr>
      <w:numPr>
        <w:ilvl w:val="5"/>
        <w:numId w:val="1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8">
    <w:name w:val="次标题"/>
    <w:basedOn w:val="3"/>
    <w:next w:val="a"/>
    <w:qFormat/>
    <w:rsid w:val="00D1573C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8"/>
    <w:next w:val="4"/>
    <w:qFormat/>
    <w:rsid w:val="00D1573C"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8"/>
    <w:next w:val="4"/>
    <w:qFormat/>
    <w:rsid w:val="00D1573C"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8"/>
    <w:next w:val="4"/>
    <w:qFormat/>
    <w:rsid w:val="00D1573C"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rsid w:val="00D1573C"/>
    <w:pPr>
      <w:keepNext w:val="0"/>
      <w:keepLines w:val="0"/>
      <w:numPr>
        <w:numId w:val="1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8"/>
    <w:next w:val="4"/>
    <w:qFormat/>
    <w:rsid w:val="00D1573C"/>
    <w:pPr>
      <w:keepNext w:val="0"/>
      <w:keepLines w:val="0"/>
      <w:numPr>
        <w:ilvl w:val="1"/>
        <w:numId w:val="1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8"/>
    <w:next w:val="4"/>
    <w:qFormat/>
    <w:rsid w:val="00D1573C"/>
    <w:pPr>
      <w:numPr>
        <w:ilvl w:val="4"/>
        <w:numId w:val="1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  <w:qFormat/>
    <w:rsid w:val="00D1573C"/>
  </w:style>
  <w:style w:type="paragraph" w:customStyle="1" w:styleId="CharCharCharCharCharChar1CharCharChar">
    <w:name w:val="Char Char Char Char Char Char1 Char Char Char"/>
    <w:basedOn w:val="a"/>
    <w:qFormat/>
    <w:rsid w:val="00D1573C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rsid w:val="00D1573C"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8"/>
    <w:next w:val="4"/>
    <w:qFormat/>
    <w:rsid w:val="00D1573C"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8"/>
    <w:next w:val="4"/>
    <w:qFormat/>
    <w:rsid w:val="00D1573C"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8"/>
    <w:next w:val="4"/>
    <w:qFormat/>
    <w:rsid w:val="00D1573C"/>
    <w:pPr>
      <w:numPr>
        <w:ilvl w:val="3"/>
        <w:numId w:val="1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qFormat/>
    <w:rsid w:val="00D157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8"/>
    <w:next w:val="4"/>
    <w:qFormat/>
    <w:rsid w:val="00D1573C"/>
    <w:pPr>
      <w:keepNext w:val="0"/>
      <w:keepLines w:val="0"/>
      <w:numPr>
        <w:ilvl w:val="2"/>
        <w:numId w:val="1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qFormat/>
    <w:rsid w:val="00D1573C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customStyle="1" w:styleId="1Char">
    <w:name w:val="标题 1 Char"/>
    <w:basedOn w:val="a0"/>
    <w:uiPriority w:val="9"/>
    <w:qFormat/>
    <w:locked/>
    <w:rsid w:val="00D1573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uiPriority w:val="9"/>
    <w:qFormat/>
    <w:locked/>
    <w:rsid w:val="00D1573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uiPriority w:val="9"/>
    <w:semiHidden/>
    <w:qFormat/>
    <w:locked/>
    <w:rsid w:val="00D1573C"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uiPriority w:val="9"/>
    <w:semiHidden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Char0">
    <w:name w:val="脚注文本 Char"/>
    <w:basedOn w:val="a0"/>
    <w:qFormat/>
    <w:locked/>
    <w:rsid w:val="00D1573C"/>
    <w:rPr>
      <w:kern w:val="2"/>
      <w:sz w:val="18"/>
      <w:szCs w:val="18"/>
    </w:rPr>
  </w:style>
  <w:style w:type="character" w:customStyle="1" w:styleId="Char3">
    <w:name w:val="页眉 Char"/>
    <w:basedOn w:val="a0"/>
    <w:uiPriority w:val="99"/>
    <w:qFormat/>
    <w:locked/>
    <w:rsid w:val="00D1573C"/>
    <w:rPr>
      <w:kern w:val="2"/>
      <w:sz w:val="18"/>
      <w:szCs w:val="18"/>
    </w:rPr>
  </w:style>
  <w:style w:type="character" w:customStyle="1" w:styleId="Char4">
    <w:name w:val="页脚 Char"/>
    <w:basedOn w:val="a0"/>
    <w:uiPriority w:val="99"/>
    <w:qFormat/>
    <w:locked/>
    <w:rsid w:val="00D1573C"/>
    <w:rPr>
      <w:kern w:val="2"/>
      <w:sz w:val="18"/>
      <w:szCs w:val="18"/>
    </w:rPr>
  </w:style>
  <w:style w:type="character" w:customStyle="1" w:styleId="Char5">
    <w:name w:val="标题 Char"/>
    <w:basedOn w:val="a0"/>
    <w:uiPriority w:val="10"/>
    <w:qFormat/>
    <w:locked/>
    <w:rsid w:val="00D1573C"/>
    <w:rPr>
      <w:rFonts w:asciiTheme="majorHAnsi" w:hAnsiTheme="majorHAnsi" w:cstheme="majorBidi" w:hint="default"/>
      <w:b/>
      <w:bCs/>
      <w:kern w:val="2"/>
      <w:sz w:val="32"/>
      <w:szCs w:val="32"/>
    </w:rPr>
  </w:style>
  <w:style w:type="character" w:customStyle="1" w:styleId="Char6">
    <w:name w:val="副标题 Char"/>
    <w:basedOn w:val="a0"/>
    <w:qFormat/>
    <w:locked/>
    <w:rsid w:val="00D1573C"/>
    <w:rPr>
      <w:rFonts w:asciiTheme="majorHAnsi" w:hAnsiTheme="majorHAnsi" w:cstheme="majorBidi" w:hint="default"/>
      <w:b/>
      <w:bCs/>
      <w:kern w:val="24"/>
      <w:sz w:val="32"/>
      <w:szCs w:val="32"/>
    </w:rPr>
  </w:style>
  <w:style w:type="character" w:customStyle="1" w:styleId="Char7">
    <w:name w:val="日期 Char"/>
    <w:basedOn w:val="a0"/>
    <w:qFormat/>
    <w:locked/>
    <w:rsid w:val="00D1573C"/>
    <w:rPr>
      <w:kern w:val="2"/>
      <w:sz w:val="21"/>
    </w:rPr>
  </w:style>
  <w:style w:type="character" w:customStyle="1" w:styleId="Char8">
    <w:name w:val="文档结构图 Char"/>
    <w:basedOn w:val="a0"/>
    <w:qFormat/>
    <w:locked/>
    <w:rsid w:val="00D1573C"/>
    <w:rPr>
      <w:rFonts w:ascii="宋体" w:eastAsia="宋体" w:hAnsi="宋体" w:hint="eastAsia"/>
      <w:kern w:val="2"/>
      <w:sz w:val="18"/>
      <w:szCs w:val="18"/>
    </w:rPr>
  </w:style>
  <w:style w:type="character" w:customStyle="1" w:styleId="Char9">
    <w:name w:val="批注框文本 Char"/>
    <w:basedOn w:val="a0"/>
    <w:uiPriority w:val="99"/>
    <w:semiHidden/>
    <w:qFormat/>
    <w:locked/>
    <w:rsid w:val="00D1573C"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qFormat/>
    <w:locked/>
    <w:rsid w:val="00D1573C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qFormat/>
    <w:locked/>
    <w:rsid w:val="00D1573C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qFormat/>
    <w:locked/>
    <w:rsid w:val="00D1573C"/>
    <w:rPr>
      <w:b/>
      <w:bCs/>
      <w:sz w:val="32"/>
      <w:szCs w:val="32"/>
    </w:rPr>
  </w:style>
  <w:style w:type="character" w:customStyle="1" w:styleId="4Char1">
    <w:name w:val="标题 4 Char1"/>
    <w:link w:val="4"/>
    <w:semiHidden/>
    <w:qFormat/>
    <w:locked/>
    <w:rsid w:val="00D1573C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4">
    <w:name w:val="脚注文本 Char1"/>
    <w:basedOn w:val="a0"/>
    <w:link w:val="a9"/>
    <w:qFormat/>
    <w:locked/>
    <w:rsid w:val="00D1573C"/>
    <w:rPr>
      <w:kern w:val="2"/>
      <w:sz w:val="18"/>
      <w:szCs w:val="18"/>
    </w:rPr>
  </w:style>
  <w:style w:type="character" w:customStyle="1" w:styleId="Char2">
    <w:name w:val="页眉 Char2"/>
    <w:basedOn w:val="a0"/>
    <w:link w:val="a7"/>
    <w:qFormat/>
    <w:locked/>
    <w:rsid w:val="00D1573C"/>
    <w:rPr>
      <w:kern w:val="2"/>
      <w:sz w:val="18"/>
      <w:szCs w:val="18"/>
    </w:rPr>
  </w:style>
  <w:style w:type="character" w:customStyle="1" w:styleId="Char12">
    <w:name w:val="页脚 Char1"/>
    <w:basedOn w:val="a0"/>
    <w:link w:val="a6"/>
    <w:uiPriority w:val="99"/>
    <w:qFormat/>
    <w:locked/>
    <w:rsid w:val="00D1573C"/>
    <w:rPr>
      <w:kern w:val="2"/>
      <w:sz w:val="18"/>
      <w:szCs w:val="18"/>
    </w:rPr>
  </w:style>
  <w:style w:type="character" w:customStyle="1" w:styleId="Char15">
    <w:name w:val="标题 Char1"/>
    <w:link w:val="ab"/>
    <w:uiPriority w:val="10"/>
    <w:qFormat/>
    <w:locked/>
    <w:rsid w:val="00D1573C"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8"/>
    <w:qFormat/>
    <w:locked/>
    <w:rsid w:val="00D1573C"/>
    <w:rPr>
      <w:rFonts w:ascii="Cambria" w:eastAsia="宋体" w:hAnsi="Cambria" w:cs="宋体" w:hint="default"/>
      <w:b/>
      <w:kern w:val="24"/>
      <w:sz w:val="24"/>
      <w:szCs w:val="32"/>
    </w:rPr>
  </w:style>
  <w:style w:type="character" w:customStyle="1" w:styleId="Char10">
    <w:name w:val="日期 Char1"/>
    <w:link w:val="a4"/>
    <w:qFormat/>
    <w:locked/>
    <w:rsid w:val="00D1573C"/>
    <w:rPr>
      <w:rFonts w:ascii="宋体" w:eastAsia="宋体" w:hAnsi="宋体" w:hint="eastAsia"/>
      <w:kern w:val="2"/>
      <w:sz w:val="32"/>
    </w:rPr>
  </w:style>
  <w:style w:type="character" w:customStyle="1" w:styleId="Char1">
    <w:name w:val="文档结构图 Char1"/>
    <w:basedOn w:val="a0"/>
    <w:link w:val="a3"/>
    <w:qFormat/>
    <w:locked/>
    <w:rsid w:val="00D1573C"/>
    <w:rPr>
      <w:rFonts w:ascii="宋体" w:eastAsia="宋体" w:hAnsi="宋体" w:hint="eastAsia"/>
      <w:kern w:val="2"/>
      <w:sz w:val="18"/>
      <w:szCs w:val="18"/>
    </w:rPr>
  </w:style>
  <w:style w:type="character" w:customStyle="1" w:styleId="Char11">
    <w:name w:val="批注框文本 Char1"/>
    <w:basedOn w:val="a0"/>
    <w:link w:val="a5"/>
    <w:uiPriority w:val="99"/>
    <w:semiHidden/>
    <w:qFormat/>
    <w:locked/>
    <w:rsid w:val="00D1573C"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qFormat/>
    <w:locked/>
    <w:rsid w:val="00D1573C"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qFormat/>
    <w:locked/>
    <w:rsid w:val="00D1573C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qFormat/>
    <w:locked/>
    <w:rsid w:val="00D1573C"/>
    <w:rPr>
      <w:kern w:val="2"/>
      <w:sz w:val="18"/>
      <w:szCs w:val="18"/>
    </w:rPr>
  </w:style>
  <w:style w:type="paragraph" w:customStyle="1" w:styleId="removednode">
    <w:name w:val="removednode"/>
    <w:basedOn w:val="a"/>
    <w:qFormat/>
    <w:rsid w:val="00D1573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6">
    <w:name w:val="页眉 Char1"/>
    <w:basedOn w:val="a0"/>
    <w:qFormat/>
    <w:locked/>
    <w:rsid w:val="00D157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17B2-F833-44AB-9C04-782A692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Company>CNSTOCK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ZHONGM</cp:lastModifiedBy>
  <cp:revision>2</cp:revision>
  <dcterms:created xsi:type="dcterms:W3CDTF">2024-05-30T16:00:00Z</dcterms:created>
  <dcterms:modified xsi:type="dcterms:W3CDTF">2024-05-30T16:00:00Z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1EBF4C2E6DAA46D1BA8E941C5E5760A8</vt:lpwstr>
  </property>
</Properties>
</file>