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69A8" w:rsidP="00DA69A8">
      <w:pPr>
        <w:spacing w:line="540" w:lineRule="exact"/>
        <w:ind w:firstLineChars="50" w:firstLine="180"/>
        <w:jc w:val="center"/>
        <w:outlineLvl w:val="0"/>
        <w:rPr>
          <w:rFonts w:ascii="仿宋" w:eastAsia="仿宋" w:hAnsi="仿宋"/>
          <w:b/>
          <w:color w:val="000000"/>
          <w:sz w:val="36"/>
          <w:szCs w:val="32"/>
        </w:rPr>
      </w:pPr>
      <w:r>
        <w:rPr>
          <w:rFonts w:ascii="仿宋" w:eastAsia="仿宋" w:hAnsi="仿宋" w:hint="eastAsia"/>
          <w:b/>
          <w:color w:val="000000"/>
          <w:sz w:val="36"/>
          <w:szCs w:val="32"/>
        </w:rPr>
        <w:t>东方阿尔法基金管理有限公司关于</w:t>
      </w:r>
    </w:p>
    <w:p w:rsidR="00000000" w:rsidRDefault="00DA69A8" w:rsidP="00DA69A8">
      <w:pPr>
        <w:spacing w:line="540" w:lineRule="exact"/>
        <w:ind w:firstLineChars="50" w:firstLine="180"/>
        <w:jc w:val="center"/>
        <w:outlineLvl w:val="0"/>
        <w:rPr>
          <w:rFonts w:ascii="仿宋" w:eastAsia="仿宋" w:hAnsi="仿宋"/>
          <w:b/>
          <w:color w:val="000000"/>
          <w:sz w:val="36"/>
          <w:szCs w:val="32"/>
        </w:rPr>
      </w:pPr>
      <w:r>
        <w:rPr>
          <w:rFonts w:ascii="仿宋" w:eastAsia="仿宋" w:hAnsi="仿宋" w:hint="eastAsia"/>
          <w:b/>
          <w:color w:val="000000"/>
          <w:sz w:val="36"/>
          <w:szCs w:val="32"/>
        </w:rPr>
        <w:t>旗下公募基金更新招募说明书及基金产品资料概要的提示性公告</w:t>
      </w:r>
    </w:p>
    <w:p w:rsidR="00000000" w:rsidRDefault="00DA69A8">
      <w:pPr>
        <w:spacing w:line="540" w:lineRule="exact"/>
        <w:ind w:firstLineChars="50" w:firstLine="160"/>
        <w:jc w:val="center"/>
        <w:rPr>
          <w:rFonts w:ascii="仿宋" w:eastAsia="仿宋" w:hAnsi="仿宋"/>
          <w:color w:val="000000"/>
          <w:sz w:val="32"/>
          <w:szCs w:val="32"/>
        </w:rPr>
      </w:pPr>
    </w:p>
    <w:p w:rsidR="00000000" w:rsidRDefault="00DA69A8">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东方阿尔法基金管理有限公司旗下东方阿尔法精选灵活配置混合型发起式证券投资基金招募说明书（更新）（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期）、东方阿尔法优选混合型发起式证券投资基金招募说明书（更新）（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2</w:t>
      </w:r>
      <w:r>
        <w:rPr>
          <w:rFonts w:ascii="仿宋" w:eastAsia="仿宋" w:hAnsi="仿宋" w:hint="eastAsia"/>
          <w:color w:val="000000"/>
          <w:sz w:val="32"/>
          <w:szCs w:val="32"/>
        </w:rPr>
        <w:t>期）、东方阿尔法优势产业混合型发起式证券投资基金招募说明书（更新）（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期）、东方阿尔法招阳混合型证券投资基金招募说明书（更新）（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期）、东方阿尔法产业先锋混合型发起式证券投资基金招募说明书（更新）（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w:t>
      </w:r>
      <w:r>
        <w:rPr>
          <w:rFonts w:ascii="仿宋" w:eastAsia="仿宋" w:hAnsi="仿宋" w:hint="eastAsia"/>
          <w:color w:val="000000"/>
          <w:sz w:val="32"/>
          <w:szCs w:val="32"/>
        </w:rPr>
        <w:t>第</w:t>
      </w:r>
      <w:r>
        <w:rPr>
          <w:rFonts w:ascii="仿宋" w:eastAsia="仿宋" w:hAnsi="仿宋" w:hint="eastAsia"/>
          <w:color w:val="000000"/>
          <w:sz w:val="32"/>
          <w:szCs w:val="32"/>
        </w:rPr>
        <w:t>3</w:t>
      </w:r>
      <w:r>
        <w:rPr>
          <w:rFonts w:ascii="仿宋" w:eastAsia="仿宋" w:hAnsi="仿宋" w:hint="eastAsia"/>
          <w:color w:val="000000"/>
          <w:sz w:val="32"/>
          <w:szCs w:val="32"/>
        </w:rPr>
        <w:t>期）、东方阿尔法兴科一年持有期混合型证券投资基金招募说明书（更新）（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期）、东方阿尔法医疗健康混合型发起式证券投资基金招募说明书（更新）（</w:t>
      </w:r>
      <w:r>
        <w:rPr>
          <w:rFonts w:ascii="仿宋" w:eastAsia="仿宋" w:hAnsi="仿宋" w:hint="eastAsia"/>
          <w:color w:val="000000"/>
          <w:sz w:val="32"/>
          <w:szCs w:val="32"/>
        </w:rPr>
        <w:t>2024</w:t>
      </w:r>
      <w:r>
        <w:rPr>
          <w:rFonts w:ascii="仿宋" w:eastAsia="仿宋" w:hAnsi="仿宋" w:hint="eastAsia"/>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期）和东方阿尔法瑞丰混合型发起式证券投资基金招募说明书（更新）（</w:t>
      </w:r>
      <w:r>
        <w:rPr>
          <w:rFonts w:ascii="仿宋" w:eastAsia="仿宋" w:hAnsi="仿宋" w:hint="eastAsia"/>
          <w:color w:val="000000"/>
          <w:sz w:val="32"/>
          <w:szCs w:val="32"/>
        </w:rPr>
        <w:t>2</w:t>
      </w:r>
      <w:r>
        <w:rPr>
          <w:rFonts w:ascii="仿宋" w:eastAsia="仿宋" w:hAnsi="仿宋"/>
          <w:color w:val="000000"/>
          <w:sz w:val="32"/>
          <w:szCs w:val="32"/>
        </w:rPr>
        <w:t>024</w:t>
      </w:r>
      <w:r>
        <w:rPr>
          <w:rFonts w:ascii="仿宋" w:eastAsia="仿宋" w:hAnsi="仿宋"/>
          <w:color w:val="000000"/>
          <w:sz w:val="32"/>
          <w:szCs w:val="32"/>
        </w:rPr>
        <w:t>年第</w:t>
      </w:r>
      <w:r>
        <w:rPr>
          <w:rFonts w:ascii="仿宋" w:eastAsia="仿宋" w:hAnsi="仿宋" w:hint="eastAsia"/>
          <w:color w:val="000000"/>
          <w:sz w:val="32"/>
          <w:szCs w:val="32"/>
        </w:rPr>
        <w:t>1</w:t>
      </w:r>
      <w:r>
        <w:rPr>
          <w:rFonts w:ascii="仿宋" w:eastAsia="仿宋" w:hAnsi="仿宋" w:hint="eastAsia"/>
          <w:color w:val="000000"/>
          <w:sz w:val="32"/>
          <w:szCs w:val="32"/>
        </w:rPr>
        <w:t>期），以及东方阿尔法精选灵活配置混合型发起式证券投资基金基金产品资料概要更新（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类份额）、东方阿尔法优选混合型发起式证券投资基金基金产品资料概要更新（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类份额）、东方阿尔法优势产业混合型发起式证券投资基金基金产品资料概要更新（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w:t>
      </w:r>
      <w:r>
        <w:rPr>
          <w:rFonts w:ascii="仿宋" w:eastAsia="仿宋" w:hAnsi="仿宋" w:hint="eastAsia"/>
          <w:color w:val="000000"/>
          <w:sz w:val="32"/>
          <w:szCs w:val="32"/>
        </w:rPr>
        <w:t>、东方阿尔法招阳混合型证券投资基金基金产品资料概要更新（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w:t>
      </w:r>
      <w:r>
        <w:rPr>
          <w:rFonts w:ascii="仿宋" w:eastAsia="仿宋" w:hAnsi="仿宋" w:hint="eastAsia"/>
          <w:color w:val="000000"/>
          <w:sz w:val="32"/>
          <w:szCs w:val="32"/>
        </w:rPr>
        <w:t>C</w:t>
      </w:r>
      <w:r>
        <w:rPr>
          <w:rFonts w:ascii="仿宋" w:eastAsia="仿宋" w:hAnsi="仿宋" w:hint="eastAsia"/>
          <w:color w:val="000000"/>
          <w:sz w:val="32"/>
          <w:szCs w:val="32"/>
        </w:rPr>
        <w:t>类份额和</w:t>
      </w:r>
      <w:r>
        <w:rPr>
          <w:rFonts w:ascii="仿宋" w:eastAsia="仿宋" w:hAnsi="仿宋" w:hint="eastAsia"/>
          <w:color w:val="000000"/>
          <w:sz w:val="32"/>
          <w:szCs w:val="32"/>
        </w:rPr>
        <w:t>E</w:t>
      </w:r>
      <w:r>
        <w:rPr>
          <w:rFonts w:ascii="仿宋" w:eastAsia="仿宋" w:hAnsi="仿宋" w:hint="eastAsia"/>
          <w:color w:val="000000"/>
          <w:sz w:val="32"/>
          <w:szCs w:val="32"/>
        </w:rPr>
        <w:t>类份额）、东方阿尔法产业先锋混合型发起式证券投资基金基金产品资料概要更新（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类份额）、东方阿尔法医疗健康混合型发起式</w:t>
      </w:r>
      <w:r>
        <w:rPr>
          <w:rFonts w:ascii="仿宋" w:eastAsia="仿宋" w:hAnsi="仿宋" w:hint="eastAsia"/>
          <w:color w:val="000000"/>
          <w:sz w:val="32"/>
          <w:szCs w:val="32"/>
        </w:rPr>
        <w:lastRenderedPageBreak/>
        <w:t>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类份额）、东方阿尔法兴科一年持有期混合型证券投资基金基金产品资料概要更新（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类份额）和东方阿尔法瑞丰混合型证券投资基金基金产品资料概要更新（</w:t>
      </w:r>
      <w:r>
        <w:rPr>
          <w:rFonts w:ascii="仿宋" w:eastAsia="仿宋" w:hAnsi="仿宋" w:hint="eastAsia"/>
          <w:color w:val="000000"/>
          <w:sz w:val="32"/>
          <w:szCs w:val="32"/>
        </w:rPr>
        <w:t>A</w:t>
      </w:r>
      <w:r>
        <w:rPr>
          <w:rFonts w:ascii="仿宋" w:eastAsia="仿宋" w:hAnsi="仿宋" w:hint="eastAsia"/>
          <w:color w:val="000000"/>
          <w:sz w:val="32"/>
          <w:szCs w:val="32"/>
        </w:rPr>
        <w:t>类份额和</w:t>
      </w:r>
      <w:r>
        <w:rPr>
          <w:rFonts w:ascii="仿宋" w:eastAsia="仿宋" w:hAnsi="仿宋" w:hint="eastAsia"/>
          <w:color w:val="000000"/>
          <w:sz w:val="32"/>
          <w:szCs w:val="32"/>
        </w:rPr>
        <w:t>C</w:t>
      </w:r>
      <w:r>
        <w:rPr>
          <w:rFonts w:ascii="仿宋" w:eastAsia="仿宋" w:hAnsi="仿宋" w:hint="eastAsia"/>
          <w:color w:val="000000"/>
          <w:sz w:val="32"/>
          <w:szCs w:val="32"/>
        </w:rPr>
        <w:t>类份额）等文件</w:t>
      </w:r>
      <w:r>
        <w:rPr>
          <w:rFonts w:ascii="仿宋" w:eastAsia="仿宋" w:hAnsi="仿宋"/>
          <w:color w:val="000000"/>
          <w:sz w:val="32"/>
          <w:szCs w:val="32"/>
        </w:rPr>
        <w:t>全文</w:t>
      </w:r>
      <w:r>
        <w:rPr>
          <w:rFonts w:ascii="仿宋" w:eastAsia="仿宋" w:hAnsi="仿宋" w:hint="eastAsia"/>
          <w:color w:val="000000"/>
          <w:sz w:val="32"/>
          <w:szCs w:val="32"/>
        </w:rPr>
        <w:t>已于</w:t>
      </w:r>
      <w:r>
        <w:rPr>
          <w:rFonts w:ascii="仿宋" w:eastAsia="仿宋" w:hAnsi="仿宋"/>
          <w:color w:val="000000"/>
          <w:sz w:val="32"/>
          <w:szCs w:val="32"/>
        </w:rPr>
        <w:t>2024</w:t>
      </w:r>
      <w:r>
        <w:rPr>
          <w:rFonts w:ascii="仿宋" w:eastAsia="仿宋" w:hAnsi="仿宋" w:hint="eastAsia"/>
          <w:color w:val="000000"/>
          <w:sz w:val="32"/>
          <w:szCs w:val="32"/>
        </w:rPr>
        <w:t>年</w:t>
      </w:r>
      <w:r>
        <w:rPr>
          <w:rFonts w:ascii="仿宋" w:eastAsia="仿宋" w:hAnsi="仿宋" w:hint="eastAsia"/>
          <w:color w:val="000000"/>
          <w:sz w:val="32"/>
          <w:szCs w:val="32"/>
        </w:rPr>
        <w:t>5</w:t>
      </w:r>
      <w:r>
        <w:rPr>
          <w:rFonts w:ascii="仿宋" w:eastAsia="仿宋" w:hAnsi="仿宋" w:hint="eastAsia"/>
          <w:color w:val="000000"/>
          <w:sz w:val="32"/>
          <w:szCs w:val="32"/>
        </w:rPr>
        <w:t>月</w:t>
      </w:r>
      <w:r>
        <w:rPr>
          <w:rFonts w:ascii="仿宋" w:eastAsia="仿宋" w:hAnsi="仿宋" w:hint="eastAsia"/>
          <w:color w:val="000000"/>
          <w:sz w:val="32"/>
          <w:szCs w:val="32"/>
        </w:rPr>
        <w:t>30</w:t>
      </w:r>
      <w:r>
        <w:rPr>
          <w:rFonts w:ascii="仿宋" w:eastAsia="仿宋" w:hAnsi="仿宋" w:hint="eastAsia"/>
          <w:color w:val="000000"/>
          <w:sz w:val="32"/>
          <w:szCs w:val="32"/>
        </w:rPr>
        <w:t>日在</w:t>
      </w:r>
      <w:r>
        <w:rPr>
          <w:rFonts w:ascii="仿宋" w:eastAsia="仿宋" w:hAnsi="仿宋"/>
          <w:color w:val="000000"/>
          <w:sz w:val="32"/>
          <w:szCs w:val="32"/>
        </w:rPr>
        <w:t>本公司网站</w:t>
      </w:r>
      <w:r>
        <w:rPr>
          <w:rFonts w:ascii="仿宋" w:eastAsia="仿宋" w:hAnsi="仿宋" w:hint="eastAsia"/>
          <w:color w:val="000000"/>
          <w:sz w:val="32"/>
          <w:szCs w:val="32"/>
        </w:rPr>
        <w:t>[</w:t>
      </w:r>
      <w:r>
        <w:rPr>
          <w:rFonts w:ascii="仿宋" w:eastAsia="仿宋" w:hAnsi="仿宋"/>
          <w:color w:val="000000"/>
          <w:sz w:val="32"/>
          <w:szCs w:val="32"/>
        </w:rPr>
        <w:t>https://www.dfa66.com</w:t>
      </w:r>
      <w:r>
        <w:rPr>
          <w:rFonts w:ascii="仿宋" w:eastAsia="仿宋" w:hAnsi="仿宋" w:hint="eastAsia"/>
          <w:color w:val="000000"/>
          <w:sz w:val="32"/>
          <w:szCs w:val="32"/>
        </w:rPr>
        <w:t>]</w:t>
      </w:r>
      <w:r>
        <w:rPr>
          <w:rFonts w:ascii="仿宋" w:eastAsia="仿宋" w:hAnsi="仿宋"/>
          <w:color w:val="000000"/>
          <w:sz w:val="32"/>
          <w:szCs w:val="32"/>
        </w:rPr>
        <w:t>和中国证监会</w:t>
      </w:r>
      <w:r>
        <w:rPr>
          <w:rFonts w:ascii="仿宋" w:eastAsia="仿宋" w:hAnsi="仿宋" w:hint="eastAsia"/>
          <w:color w:val="000000"/>
          <w:sz w:val="32"/>
          <w:szCs w:val="32"/>
        </w:rPr>
        <w:t>基金</w:t>
      </w:r>
      <w:r>
        <w:rPr>
          <w:rFonts w:ascii="仿宋" w:eastAsia="仿宋" w:hAnsi="仿宋"/>
          <w:color w:val="000000"/>
          <w:sz w:val="32"/>
          <w:szCs w:val="32"/>
        </w:rPr>
        <w:t>电子披露网站</w:t>
      </w:r>
      <w:r>
        <w:rPr>
          <w:rFonts w:ascii="仿宋" w:eastAsia="仿宋" w:hAnsi="仿宋" w:hint="eastAsia"/>
          <w:color w:val="000000"/>
          <w:sz w:val="32"/>
          <w:szCs w:val="32"/>
        </w:rPr>
        <w:t>[</w:t>
      </w:r>
      <w:hyperlink r:id="rId6" w:history="1">
        <w:r>
          <w:rPr>
            <w:rFonts w:ascii="仿宋" w:eastAsia="仿宋" w:hAnsi="仿宋" w:hint="eastAsia"/>
            <w:color w:val="000000"/>
            <w:sz w:val="32"/>
            <w:szCs w:val="32"/>
          </w:rPr>
          <w:t>http://eid.csrc.gov.cn/fund</w:t>
        </w:r>
      </w:hyperlink>
      <w:r>
        <w:rPr>
          <w:rFonts w:ascii="仿宋" w:eastAsia="仿宋" w:hAnsi="仿宋" w:hint="eastAsia"/>
          <w:color w:val="000000"/>
          <w:sz w:val="32"/>
          <w:szCs w:val="32"/>
        </w:rPr>
        <w:t>]</w:t>
      </w:r>
      <w:r>
        <w:rPr>
          <w:rFonts w:ascii="仿宋" w:eastAsia="仿宋" w:hAnsi="仿宋"/>
          <w:color w:val="000000"/>
          <w:sz w:val="32"/>
          <w:szCs w:val="32"/>
        </w:rPr>
        <w:t>披露，供投资者查阅。</w:t>
      </w:r>
      <w:r>
        <w:rPr>
          <w:rFonts w:ascii="仿宋" w:eastAsia="仿宋" w:hAnsi="仿宋" w:hint="eastAsia"/>
          <w:color w:val="000000"/>
          <w:sz w:val="32"/>
          <w:szCs w:val="32"/>
        </w:rPr>
        <w:t>如有疑问可拨打本公司客服电话（</w:t>
      </w:r>
      <w:r>
        <w:rPr>
          <w:rFonts w:ascii="仿宋" w:eastAsia="仿宋" w:hAnsi="仿宋"/>
          <w:color w:val="000000"/>
          <w:sz w:val="32"/>
          <w:szCs w:val="32"/>
        </w:rPr>
        <w:t>400-930-6677</w:t>
      </w:r>
      <w:r>
        <w:rPr>
          <w:rFonts w:ascii="仿宋" w:eastAsia="仿宋" w:hAnsi="仿宋" w:hint="eastAsia"/>
          <w:color w:val="000000"/>
          <w:sz w:val="32"/>
          <w:szCs w:val="32"/>
        </w:rPr>
        <w:t>）咨询</w:t>
      </w:r>
      <w:r>
        <w:rPr>
          <w:rFonts w:ascii="仿宋" w:eastAsia="仿宋" w:hAnsi="仿宋"/>
          <w:color w:val="000000"/>
          <w:sz w:val="32"/>
          <w:szCs w:val="32"/>
        </w:rPr>
        <w:t>。</w:t>
      </w:r>
    </w:p>
    <w:p w:rsidR="00000000" w:rsidRDefault="00DA69A8">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本基金管理人承诺以诚实信用、勤勉尽责的原则管理和运用基金资产，但不保证基金一定盈利，也不保证最低收益。请充分了解基金的风险收益特征，审慎做出投资决定。</w:t>
      </w:r>
    </w:p>
    <w:p w:rsidR="00000000" w:rsidRDefault="00DA69A8">
      <w:pPr>
        <w:spacing w:line="540" w:lineRule="exact"/>
        <w:ind w:firstLineChars="200" w:firstLine="640"/>
        <w:rPr>
          <w:rFonts w:ascii="仿宋" w:eastAsia="仿宋" w:hAnsi="仿宋"/>
          <w:color w:val="000000"/>
          <w:sz w:val="32"/>
          <w:szCs w:val="32"/>
        </w:rPr>
      </w:pPr>
    </w:p>
    <w:p w:rsidR="00000000" w:rsidRDefault="00DA69A8">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特此公告。</w:t>
      </w:r>
    </w:p>
    <w:p w:rsidR="00000000" w:rsidRDefault="00DA69A8">
      <w:pPr>
        <w:spacing w:line="540" w:lineRule="exact"/>
        <w:ind w:firstLineChars="200" w:firstLine="640"/>
        <w:rPr>
          <w:rFonts w:ascii="仿宋" w:eastAsia="仿宋" w:hAnsi="仿宋"/>
          <w:color w:val="000000"/>
          <w:sz w:val="32"/>
          <w:szCs w:val="32"/>
        </w:rPr>
      </w:pPr>
    </w:p>
    <w:p w:rsidR="00000000" w:rsidRDefault="00DA69A8">
      <w:pPr>
        <w:spacing w:line="54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东方阿尔法</w:t>
      </w:r>
      <w:r>
        <w:rPr>
          <w:rFonts w:ascii="仿宋" w:eastAsia="仿宋" w:hAnsi="仿宋" w:hint="eastAsia"/>
          <w:color w:val="000000"/>
          <w:sz w:val="32"/>
          <w:szCs w:val="32"/>
        </w:rPr>
        <w:t>基金管理有限</w:t>
      </w:r>
      <w:r>
        <w:rPr>
          <w:rFonts w:ascii="仿宋" w:eastAsia="仿宋" w:hAnsi="仿宋"/>
          <w:color w:val="000000"/>
          <w:sz w:val="32"/>
          <w:szCs w:val="32"/>
        </w:rPr>
        <w:t>公司</w:t>
      </w:r>
    </w:p>
    <w:p w:rsidR="00000000" w:rsidRDefault="00DA69A8">
      <w:pPr>
        <w:spacing w:line="54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2024</w:t>
      </w:r>
      <w:r>
        <w:rPr>
          <w:rFonts w:ascii="仿宋" w:eastAsia="仿宋" w:hAnsi="仿宋"/>
          <w:color w:val="000000"/>
          <w:sz w:val="32"/>
          <w:szCs w:val="32"/>
        </w:rPr>
        <w:t>年</w:t>
      </w:r>
      <w:r>
        <w:rPr>
          <w:rFonts w:ascii="仿宋" w:eastAsia="仿宋" w:hAnsi="仿宋" w:hint="eastAsia"/>
          <w:color w:val="000000"/>
          <w:sz w:val="32"/>
          <w:szCs w:val="32"/>
        </w:rPr>
        <w:t>5</w:t>
      </w:r>
      <w:r>
        <w:rPr>
          <w:rFonts w:ascii="仿宋" w:eastAsia="仿宋" w:hAnsi="仿宋"/>
          <w:color w:val="000000"/>
          <w:sz w:val="32"/>
          <w:szCs w:val="32"/>
        </w:rPr>
        <w:t>月</w:t>
      </w:r>
      <w:r>
        <w:rPr>
          <w:rFonts w:ascii="仿宋" w:eastAsia="仿宋" w:hAnsi="仿宋" w:hint="eastAsia"/>
          <w:color w:val="000000"/>
          <w:sz w:val="32"/>
          <w:szCs w:val="32"/>
        </w:rPr>
        <w:t>30</w:t>
      </w:r>
      <w:r>
        <w:rPr>
          <w:rFonts w:ascii="仿宋" w:eastAsia="仿宋" w:hAnsi="仿宋"/>
          <w:color w:val="000000"/>
          <w:sz w:val="32"/>
          <w:szCs w:val="32"/>
        </w:rPr>
        <w:t>日</w:t>
      </w:r>
    </w:p>
    <w:sectPr w:rsidR="00000000">
      <w:footerReference w:type="default" r:id="rId7"/>
      <w:footerReference w:type="first" r:id="rId8"/>
      <w:pgSz w:w="11906" w:h="16838"/>
      <w:pgMar w:top="1985" w:right="1588"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69A8">
      <w:r>
        <w:separator/>
      </w:r>
    </w:p>
  </w:endnote>
  <w:endnote w:type="continuationSeparator" w:id="0">
    <w:p w:rsidR="00000000" w:rsidRDefault="00DA6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9A8">
    <w:pPr>
      <w:pStyle w:val="a6"/>
      <w:jc w:val="center"/>
    </w:pPr>
    <w:r>
      <w:fldChar w:fldCharType="begin"/>
    </w:r>
    <w:r>
      <w:instrText>PAGE   \* MERGEFORMAT</w:instrText>
    </w:r>
    <w:r>
      <w:fldChar w:fldCharType="separate"/>
    </w:r>
    <w:r w:rsidRPr="00DA69A8">
      <w:rPr>
        <w:noProof/>
        <w:lang w:val="zh-CN" w:eastAsia="zh-CN"/>
      </w:rPr>
      <w:t>2</w:t>
    </w:r>
    <w:r>
      <w:fldChar w:fldCharType="end"/>
    </w:r>
  </w:p>
  <w:p w:rsidR="00000000" w:rsidRDefault="00DA69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9A8">
    <w:pPr>
      <w:pStyle w:val="a6"/>
      <w:jc w:val="center"/>
    </w:pPr>
    <w:r>
      <w:fldChar w:fldCharType="begin"/>
    </w:r>
    <w:r>
      <w:instrText>PAGE   \* MERGEFORMAT</w:instrText>
    </w:r>
    <w:r>
      <w:fldChar w:fldCharType="separate"/>
    </w:r>
    <w:r w:rsidRPr="00DA69A8">
      <w:rPr>
        <w:noProof/>
        <w:lang w:val="zh-CN" w:eastAsia="zh-CN"/>
      </w:rPr>
      <w:t>1</w:t>
    </w:r>
    <w:r>
      <w:fldChar w:fldCharType="end"/>
    </w:r>
  </w:p>
  <w:p w:rsidR="00000000" w:rsidRDefault="00DA69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69A8">
      <w:r>
        <w:separator/>
      </w:r>
    </w:p>
  </w:footnote>
  <w:footnote w:type="continuationSeparator" w:id="0">
    <w:p w:rsidR="00000000" w:rsidRDefault="00DA6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lmZDQ1NzE5ZjE5YTIwNzY1NzE5N2I3MjBkYWExNjEifQ=="/>
  </w:docVars>
  <w:rsids>
    <w:rsidRoot w:val="009A149B"/>
    <w:rsid w:val="00001760"/>
    <w:rsid w:val="00010044"/>
    <w:rsid w:val="000105C0"/>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C92"/>
    <w:rsid w:val="000F407E"/>
    <w:rsid w:val="000F6458"/>
    <w:rsid w:val="001039BC"/>
    <w:rsid w:val="001159B6"/>
    <w:rsid w:val="001279BE"/>
    <w:rsid w:val="0013251E"/>
    <w:rsid w:val="001445A9"/>
    <w:rsid w:val="00145AD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59E"/>
    <w:rsid w:val="001E7CAD"/>
    <w:rsid w:val="001F125D"/>
    <w:rsid w:val="001F15CB"/>
    <w:rsid w:val="001F1B31"/>
    <w:rsid w:val="001F533E"/>
    <w:rsid w:val="0020208F"/>
    <w:rsid w:val="0021172E"/>
    <w:rsid w:val="00221DE2"/>
    <w:rsid w:val="00226E8E"/>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3793B"/>
    <w:rsid w:val="003467B5"/>
    <w:rsid w:val="0035138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2501"/>
    <w:rsid w:val="003F2D41"/>
    <w:rsid w:val="003F4E13"/>
    <w:rsid w:val="003F6960"/>
    <w:rsid w:val="0040020D"/>
    <w:rsid w:val="004015C9"/>
    <w:rsid w:val="00405ADB"/>
    <w:rsid w:val="004254EE"/>
    <w:rsid w:val="00430D19"/>
    <w:rsid w:val="00433480"/>
    <w:rsid w:val="0043655D"/>
    <w:rsid w:val="00437D86"/>
    <w:rsid w:val="00441246"/>
    <w:rsid w:val="00441E0B"/>
    <w:rsid w:val="0044498C"/>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1584"/>
    <w:rsid w:val="004F7313"/>
    <w:rsid w:val="005158A6"/>
    <w:rsid w:val="005172C7"/>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09D1"/>
    <w:rsid w:val="005B5746"/>
    <w:rsid w:val="005C00AF"/>
    <w:rsid w:val="005C7C95"/>
    <w:rsid w:val="005D3C24"/>
    <w:rsid w:val="005D4528"/>
    <w:rsid w:val="005E088E"/>
    <w:rsid w:val="005E0F00"/>
    <w:rsid w:val="005F4D9C"/>
    <w:rsid w:val="005F7E5C"/>
    <w:rsid w:val="00604996"/>
    <w:rsid w:val="00605B67"/>
    <w:rsid w:val="00605F6D"/>
    <w:rsid w:val="0061522F"/>
    <w:rsid w:val="006163B1"/>
    <w:rsid w:val="00616874"/>
    <w:rsid w:val="0062589F"/>
    <w:rsid w:val="00626EA8"/>
    <w:rsid w:val="00641CEA"/>
    <w:rsid w:val="0065080E"/>
    <w:rsid w:val="00655229"/>
    <w:rsid w:val="00656B0C"/>
    <w:rsid w:val="00662365"/>
    <w:rsid w:val="0066309A"/>
    <w:rsid w:val="0066627D"/>
    <w:rsid w:val="00666735"/>
    <w:rsid w:val="00681E4A"/>
    <w:rsid w:val="006832A2"/>
    <w:rsid w:val="00684A20"/>
    <w:rsid w:val="00690EC4"/>
    <w:rsid w:val="006962CB"/>
    <w:rsid w:val="006A0BB0"/>
    <w:rsid w:val="006A7F42"/>
    <w:rsid w:val="006B4697"/>
    <w:rsid w:val="006D0738"/>
    <w:rsid w:val="006D17EF"/>
    <w:rsid w:val="006D34B9"/>
    <w:rsid w:val="006D74A4"/>
    <w:rsid w:val="006E4941"/>
    <w:rsid w:val="006E55E9"/>
    <w:rsid w:val="006E5DE5"/>
    <w:rsid w:val="006E7335"/>
    <w:rsid w:val="006F1E9F"/>
    <w:rsid w:val="006F6724"/>
    <w:rsid w:val="006F74EE"/>
    <w:rsid w:val="0070004D"/>
    <w:rsid w:val="007006AE"/>
    <w:rsid w:val="00702423"/>
    <w:rsid w:val="00702449"/>
    <w:rsid w:val="00702F48"/>
    <w:rsid w:val="00705694"/>
    <w:rsid w:val="007108D9"/>
    <w:rsid w:val="00714CEA"/>
    <w:rsid w:val="007159A1"/>
    <w:rsid w:val="0071642F"/>
    <w:rsid w:val="00722DD7"/>
    <w:rsid w:val="00725827"/>
    <w:rsid w:val="00725F68"/>
    <w:rsid w:val="0073075C"/>
    <w:rsid w:val="007315E0"/>
    <w:rsid w:val="00732C73"/>
    <w:rsid w:val="0074144B"/>
    <w:rsid w:val="00741A3E"/>
    <w:rsid w:val="007443C2"/>
    <w:rsid w:val="00756CAD"/>
    <w:rsid w:val="00757645"/>
    <w:rsid w:val="007629BB"/>
    <w:rsid w:val="00762A82"/>
    <w:rsid w:val="0076350D"/>
    <w:rsid w:val="007703B8"/>
    <w:rsid w:val="00771227"/>
    <w:rsid w:val="00772D42"/>
    <w:rsid w:val="00774284"/>
    <w:rsid w:val="00775751"/>
    <w:rsid w:val="00781015"/>
    <w:rsid w:val="00787132"/>
    <w:rsid w:val="007900FC"/>
    <w:rsid w:val="00794869"/>
    <w:rsid w:val="00794FEA"/>
    <w:rsid w:val="00797876"/>
    <w:rsid w:val="007A4463"/>
    <w:rsid w:val="007A5116"/>
    <w:rsid w:val="007A5263"/>
    <w:rsid w:val="007B3A14"/>
    <w:rsid w:val="007B4EC6"/>
    <w:rsid w:val="007B549A"/>
    <w:rsid w:val="007B5745"/>
    <w:rsid w:val="007B6893"/>
    <w:rsid w:val="007B6B4D"/>
    <w:rsid w:val="007C198D"/>
    <w:rsid w:val="007C3F2C"/>
    <w:rsid w:val="007C51E4"/>
    <w:rsid w:val="007D4066"/>
    <w:rsid w:val="007D653B"/>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7535"/>
    <w:rsid w:val="008A1AFA"/>
    <w:rsid w:val="008A2CE2"/>
    <w:rsid w:val="008A3460"/>
    <w:rsid w:val="008B539C"/>
    <w:rsid w:val="008B77D5"/>
    <w:rsid w:val="008C155D"/>
    <w:rsid w:val="008D4634"/>
    <w:rsid w:val="008E23EA"/>
    <w:rsid w:val="008E4CD7"/>
    <w:rsid w:val="008E58F7"/>
    <w:rsid w:val="008E6402"/>
    <w:rsid w:val="008E6EC1"/>
    <w:rsid w:val="008F136D"/>
    <w:rsid w:val="00903815"/>
    <w:rsid w:val="00903C0A"/>
    <w:rsid w:val="009062C4"/>
    <w:rsid w:val="0090723B"/>
    <w:rsid w:val="00910193"/>
    <w:rsid w:val="0092312D"/>
    <w:rsid w:val="00933628"/>
    <w:rsid w:val="00942670"/>
    <w:rsid w:val="009465EA"/>
    <w:rsid w:val="009506DC"/>
    <w:rsid w:val="009566C4"/>
    <w:rsid w:val="00956DD9"/>
    <w:rsid w:val="00962731"/>
    <w:rsid w:val="009628AE"/>
    <w:rsid w:val="00967A04"/>
    <w:rsid w:val="00973509"/>
    <w:rsid w:val="00977BBE"/>
    <w:rsid w:val="00977E7B"/>
    <w:rsid w:val="00986792"/>
    <w:rsid w:val="009871EF"/>
    <w:rsid w:val="00991292"/>
    <w:rsid w:val="00991AEE"/>
    <w:rsid w:val="0099252E"/>
    <w:rsid w:val="00993CBF"/>
    <w:rsid w:val="009972AC"/>
    <w:rsid w:val="00997D63"/>
    <w:rsid w:val="009A149B"/>
    <w:rsid w:val="009B33C8"/>
    <w:rsid w:val="009B5D57"/>
    <w:rsid w:val="009C15E2"/>
    <w:rsid w:val="009C33BF"/>
    <w:rsid w:val="009C3820"/>
    <w:rsid w:val="009E35EB"/>
    <w:rsid w:val="009E64F2"/>
    <w:rsid w:val="009E7875"/>
    <w:rsid w:val="009F72D1"/>
    <w:rsid w:val="00A132B8"/>
    <w:rsid w:val="00A144A6"/>
    <w:rsid w:val="00A21627"/>
    <w:rsid w:val="00A37A94"/>
    <w:rsid w:val="00A41611"/>
    <w:rsid w:val="00A441B7"/>
    <w:rsid w:val="00A447AF"/>
    <w:rsid w:val="00A46430"/>
    <w:rsid w:val="00A52E50"/>
    <w:rsid w:val="00A55BDA"/>
    <w:rsid w:val="00A5780A"/>
    <w:rsid w:val="00A62B15"/>
    <w:rsid w:val="00A63901"/>
    <w:rsid w:val="00A63F21"/>
    <w:rsid w:val="00A7247E"/>
    <w:rsid w:val="00A72BFA"/>
    <w:rsid w:val="00A72FCD"/>
    <w:rsid w:val="00A74844"/>
    <w:rsid w:val="00A81D7B"/>
    <w:rsid w:val="00A82EF9"/>
    <w:rsid w:val="00A87DCB"/>
    <w:rsid w:val="00AB49A1"/>
    <w:rsid w:val="00AC1161"/>
    <w:rsid w:val="00AD18DD"/>
    <w:rsid w:val="00AD562B"/>
    <w:rsid w:val="00AD6C6F"/>
    <w:rsid w:val="00AE3F47"/>
    <w:rsid w:val="00AE69BF"/>
    <w:rsid w:val="00AF0372"/>
    <w:rsid w:val="00AF7347"/>
    <w:rsid w:val="00B014DF"/>
    <w:rsid w:val="00B02325"/>
    <w:rsid w:val="00B11B77"/>
    <w:rsid w:val="00B16987"/>
    <w:rsid w:val="00B17EF5"/>
    <w:rsid w:val="00B2068A"/>
    <w:rsid w:val="00B23F95"/>
    <w:rsid w:val="00B25BAB"/>
    <w:rsid w:val="00B26285"/>
    <w:rsid w:val="00B33F4A"/>
    <w:rsid w:val="00B3447A"/>
    <w:rsid w:val="00B41297"/>
    <w:rsid w:val="00B504F2"/>
    <w:rsid w:val="00B50E1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0AA0"/>
    <w:rsid w:val="00BC3F72"/>
    <w:rsid w:val="00BC64B2"/>
    <w:rsid w:val="00BC662F"/>
    <w:rsid w:val="00BC6FFD"/>
    <w:rsid w:val="00BC778B"/>
    <w:rsid w:val="00BC7AFE"/>
    <w:rsid w:val="00BD1958"/>
    <w:rsid w:val="00BD2286"/>
    <w:rsid w:val="00BD3CFA"/>
    <w:rsid w:val="00BD7C42"/>
    <w:rsid w:val="00BE1B5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329"/>
    <w:rsid w:val="00CB2CEE"/>
    <w:rsid w:val="00CB4DE3"/>
    <w:rsid w:val="00CC2F35"/>
    <w:rsid w:val="00CC40C3"/>
    <w:rsid w:val="00CC525C"/>
    <w:rsid w:val="00CD34E5"/>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5F89"/>
    <w:rsid w:val="00D709AE"/>
    <w:rsid w:val="00D70A3B"/>
    <w:rsid w:val="00D72110"/>
    <w:rsid w:val="00D919AF"/>
    <w:rsid w:val="00D937BD"/>
    <w:rsid w:val="00DA2D7C"/>
    <w:rsid w:val="00DA69A8"/>
    <w:rsid w:val="00DB6F0A"/>
    <w:rsid w:val="00DD7BAA"/>
    <w:rsid w:val="00DE0FFA"/>
    <w:rsid w:val="00DE6A70"/>
    <w:rsid w:val="00DE6F5A"/>
    <w:rsid w:val="00DF3DF3"/>
    <w:rsid w:val="00DF5AA8"/>
    <w:rsid w:val="00E11D7D"/>
    <w:rsid w:val="00E1254C"/>
    <w:rsid w:val="00E14E56"/>
    <w:rsid w:val="00E16895"/>
    <w:rsid w:val="00E32614"/>
    <w:rsid w:val="00E33250"/>
    <w:rsid w:val="00E3526B"/>
    <w:rsid w:val="00E5059C"/>
    <w:rsid w:val="00E5184A"/>
    <w:rsid w:val="00E54C06"/>
    <w:rsid w:val="00E5664A"/>
    <w:rsid w:val="00E7407A"/>
    <w:rsid w:val="00E81A0A"/>
    <w:rsid w:val="00E85B5A"/>
    <w:rsid w:val="00E959EA"/>
    <w:rsid w:val="00E964F7"/>
    <w:rsid w:val="00EA6F84"/>
    <w:rsid w:val="00EB7931"/>
    <w:rsid w:val="00ED46D8"/>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77F68"/>
    <w:rsid w:val="00F9100C"/>
    <w:rsid w:val="00FA0934"/>
    <w:rsid w:val="00FA653D"/>
    <w:rsid w:val="00FB23EE"/>
    <w:rsid w:val="00FC34DF"/>
    <w:rsid w:val="00FD658E"/>
    <w:rsid w:val="00FE0C5A"/>
    <w:rsid w:val="00FE13A2"/>
    <w:rsid w:val="08575073"/>
    <w:rsid w:val="0DB56637"/>
    <w:rsid w:val="1A441CBC"/>
    <w:rsid w:val="310E0E7D"/>
    <w:rsid w:val="47226BC2"/>
    <w:rsid w:val="603A6AE9"/>
    <w:rsid w:val="61724C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eastAsia="宋体"/>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style>
  <w:style w:type="paragraph" w:styleId="a5">
    <w:name w:val="Balloon Text"/>
    <w:basedOn w:val="a"/>
    <w:link w:val="Char1"/>
    <w:uiPriority w:val="99"/>
    <w:unhideWhenUsed/>
    <w:rPr>
      <w:sz w:val="18"/>
      <w:szCs w:val="18"/>
    </w:rPr>
  </w:style>
  <w:style w:type="character" w:customStyle="1" w:styleId="Char1">
    <w:name w:val="批注框文本 Char"/>
    <w:link w:val="a5"/>
    <w:uiPriority w:val="99"/>
    <w:semiHidden/>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link w:val="a6"/>
    <w:uiPriority w:val="99"/>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sz w:val="18"/>
      <w:szCs w:val="18"/>
    </w:rPr>
  </w:style>
  <w:style w:type="paragraph" w:styleId="a8">
    <w:name w:val="footnote text"/>
    <w:basedOn w:val="a"/>
    <w:link w:val="Char4"/>
    <w:uiPriority w:val="99"/>
    <w:unhideWhenUsed/>
    <w:pPr>
      <w:snapToGrid w:val="0"/>
      <w:jc w:val="left"/>
    </w:pPr>
    <w:rPr>
      <w:sz w:val="18"/>
      <w:szCs w:val="18"/>
    </w:rPr>
  </w:style>
  <w:style w:type="character" w:customStyle="1" w:styleId="Char4">
    <w:name w:val="脚注文本 Char"/>
    <w:link w:val="a8"/>
    <w:uiPriority w:val="99"/>
    <w:semiHidden/>
    <w:rPr>
      <w:sz w:val="18"/>
      <w:szCs w:val="18"/>
    </w:rPr>
  </w:style>
  <w:style w:type="paragraph" w:styleId="a9">
    <w:name w:val="annotation subject"/>
    <w:basedOn w:val="a4"/>
    <w:next w:val="a4"/>
    <w:link w:val="Char5"/>
    <w:uiPriority w:val="99"/>
    <w:unhideWhenUsed/>
    <w:rPr>
      <w:b/>
      <w:bCs/>
    </w:rPr>
  </w:style>
  <w:style w:type="character" w:customStyle="1" w:styleId="Char5">
    <w:name w:val="批注主题 Char"/>
    <w:link w:val="a9"/>
    <w:uiPriority w:val="99"/>
    <w:semiHidden/>
    <w:rPr>
      <w:b/>
      <w:bCs/>
    </w:rPr>
  </w:style>
  <w:style w:type="character" w:styleId="aa">
    <w:name w:val="Hyperlink"/>
    <w:uiPriority w:val="99"/>
    <w:unhideWhenUsed/>
    <w:rPr>
      <w:color w:val="0000FF"/>
      <w:u w:val="single"/>
    </w:rPr>
  </w:style>
  <w:style w:type="character" w:styleId="ab">
    <w:name w:val="annotation reference"/>
    <w:uiPriority w:val="99"/>
    <w:unhideWhenUsed/>
    <w:rPr>
      <w:sz w:val="21"/>
      <w:szCs w:val="21"/>
    </w:rPr>
  </w:style>
  <w:style w:type="character" w:styleId="ac">
    <w:name w:val="footnote reference"/>
    <w:uiPriority w:val="99"/>
    <w:unhideWhenUsed/>
    <w:rPr>
      <w:vertAlign w:val="superscript"/>
    </w:rPr>
  </w:style>
  <w:style w:type="paragraph" w:styleId="ad">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4</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2024-05-29T16:00:00Z</dcterms:created>
  <dcterms:modified xsi:type="dcterms:W3CDTF">2024-05-29T16:00:00Z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69344012623149709FCAA6860156FFF4_12</vt:lpwstr>
  </property>
</Properties>
</file>