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22" w:rsidRPr="00C515EA" w:rsidRDefault="008B0422">
      <w:pPr>
        <w:jc w:val="center"/>
        <w:rPr>
          <w:rFonts w:ascii="宋体" w:hAnsi="宋体"/>
          <w:b/>
          <w:color w:val="000000"/>
          <w:szCs w:val="24"/>
        </w:rPr>
      </w:pPr>
      <w:bookmarkStart w:id="0" w:name="FM_KS_1"/>
      <w:bookmarkEnd w:id="0"/>
    </w:p>
    <w:p w:rsidR="008B0422" w:rsidRPr="00C515EA" w:rsidRDefault="008B0422">
      <w:pPr>
        <w:jc w:val="center"/>
        <w:rPr>
          <w:rFonts w:ascii="宋体" w:hAnsi="宋体" w:hint="eastAsia"/>
          <w:b/>
          <w:color w:val="000000"/>
          <w:szCs w:val="24"/>
        </w:rPr>
      </w:pPr>
    </w:p>
    <w:p w:rsidR="008B0422" w:rsidRPr="00C515EA" w:rsidRDefault="008B0422">
      <w:pPr>
        <w:jc w:val="center"/>
        <w:rPr>
          <w:rFonts w:ascii="宋体" w:hAnsi="宋体" w:hint="eastAsia"/>
          <w:b/>
          <w:color w:val="000000"/>
          <w:sz w:val="24"/>
          <w:szCs w:val="24"/>
        </w:rPr>
      </w:pPr>
      <w:r w:rsidRPr="00C515EA">
        <w:rPr>
          <w:rFonts w:ascii="宋体" w:hAnsi="宋体" w:hint="eastAsia"/>
          <w:b/>
          <w:color w:val="000000"/>
          <w:sz w:val="24"/>
          <w:szCs w:val="24"/>
        </w:rPr>
        <w:t>中信保诚国企红利量化选股股票型证券投资基金</w:t>
      </w:r>
      <w:r w:rsidRPr="00C515EA">
        <w:rPr>
          <w:rFonts w:ascii="宋体" w:hAnsi="宋体" w:hint="eastAsia"/>
          <w:b/>
          <w:color w:val="000000"/>
          <w:sz w:val="24"/>
          <w:szCs w:val="24"/>
        </w:rPr>
        <w:br/>
        <w:t>开放日常申购、赎回、转换、定期定额投资业务的公告</w:t>
      </w:r>
    </w:p>
    <w:p w:rsidR="008B0422" w:rsidRPr="00C515EA" w:rsidRDefault="008B0422">
      <w:pPr>
        <w:jc w:val="center"/>
        <w:rPr>
          <w:rFonts w:ascii="宋体" w:hAnsi="宋体" w:hint="eastAsia"/>
          <w:b/>
          <w:color w:val="000000"/>
          <w:sz w:val="24"/>
          <w:szCs w:val="24"/>
        </w:rPr>
      </w:pPr>
    </w:p>
    <w:p w:rsidR="008B0422" w:rsidRPr="00C515EA" w:rsidRDefault="008B0422">
      <w:pPr>
        <w:jc w:val="center"/>
        <w:rPr>
          <w:rFonts w:ascii="宋体" w:hAnsi="宋体" w:hint="eastAsia"/>
          <w:b/>
          <w:color w:val="000000"/>
          <w:sz w:val="24"/>
          <w:szCs w:val="24"/>
        </w:rPr>
      </w:pPr>
    </w:p>
    <w:p w:rsidR="008B0422" w:rsidRPr="00C515EA" w:rsidRDefault="008B0422">
      <w:pPr>
        <w:adjustRightInd w:val="0"/>
        <w:snapToGrid w:val="0"/>
        <w:spacing w:line="460" w:lineRule="exact"/>
        <w:jc w:val="center"/>
        <w:rPr>
          <w:rFonts w:ascii="宋体" w:hAnsi="宋体" w:hint="eastAsia"/>
          <w:b/>
          <w:color w:val="000000"/>
          <w:sz w:val="24"/>
          <w:szCs w:val="24"/>
        </w:rPr>
      </w:pPr>
      <w:r w:rsidRPr="00C515EA">
        <w:rPr>
          <w:rFonts w:ascii="宋体" w:hAnsi="宋体" w:hint="eastAsia"/>
          <w:b/>
          <w:color w:val="000000"/>
          <w:sz w:val="24"/>
          <w:szCs w:val="24"/>
        </w:rPr>
        <w:t>公告送出日期：2024年05月30日</w:t>
      </w:r>
      <w:bookmarkStart w:id="1" w:name="FM_JS_1"/>
      <w:bookmarkEnd w:id="1"/>
    </w:p>
    <w:p w:rsidR="008B0422" w:rsidRDefault="008B0422">
      <w:pPr>
        <w:rPr>
          <w:rFonts w:hint="eastAsia"/>
        </w:rPr>
      </w:pPr>
    </w:p>
    <w:p w:rsidR="008B0422" w:rsidRDefault="008B0422"/>
    <w:p w:rsidR="008B0422" w:rsidRDefault="008B0422">
      <w:pPr>
        <w:pStyle w:val="10"/>
        <w:spacing w:before="312"/>
        <w:ind w:left="0"/>
      </w:pPr>
      <w:bookmarkStart w:id="2" w:name="ZJ_1_KS"/>
      <w:bookmarkEnd w:id="2"/>
      <w:r>
        <w:rPr>
          <w:rFonts w:hint="eastAsia"/>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712"/>
        <w:gridCol w:w="3292"/>
      </w:tblGrid>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color w:val="000000"/>
                <w:szCs w:val="21"/>
              </w:rPr>
            </w:pPr>
            <w:bookmarkStart w:id="3" w:name="BG_1_BG1"/>
            <w:bookmarkEnd w:id="3"/>
            <w:r>
              <w:rPr>
                <w:rFonts w:ascii="宋体" w:hAnsi="宋体" w:hint="eastAsia"/>
                <w:color w:val="000000"/>
                <w:szCs w:val="21"/>
              </w:rPr>
              <w:t>基金名称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中信保诚国企红利量化选股股票型证券投资基金</w:t>
            </w:r>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基金简称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中信保诚国企红利量化股票</w:t>
            </w:r>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基金主代码</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020768</w:t>
            </w:r>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基金运作方式</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契约型开放式</w:t>
            </w:r>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基金合同生效日</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2024年03月22日</w:t>
            </w:r>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基金管理人名称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中信保诚基金管理有限公司</w:t>
            </w:r>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基金托管人名称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华泰证券股份有限公司</w:t>
            </w:r>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bookmarkStart w:id="4" w:name="YSH_0310_KS_1"/>
            <w:bookmarkEnd w:id="4"/>
            <w:r>
              <w:rPr>
                <w:rFonts w:ascii="宋体" w:hAnsi="宋体" w:hint="eastAsia"/>
                <w:color w:val="000000"/>
                <w:szCs w:val="21"/>
              </w:rPr>
              <w:t>基金注册登记机构名称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中信保诚基金管理有限公司</w:t>
            </w:r>
            <w:bookmarkStart w:id="5" w:name="YSH_0310_JS_1"/>
            <w:bookmarkEnd w:id="5"/>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公告依据</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《中信保诚国企红利量化选股股票型证券投资基金基金合同》、《中信保诚国企红利量化选股股票型证券投资基金招募说明书》</w:t>
            </w:r>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bookmarkStart w:id="6" w:name="YSH_2660_KS_1"/>
            <w:bookmarkEnd w:id="6"/>
            <w:r>
              <w:rPr>
                <w:rFonts w:ascii="宋体" w:hAnsi="宋体" w:hint="eastAsia"/>
                <w:color w:val="000000"/>
                <w:szCs w:val="21"/>
              </w:rPr>
              <w:t>申购起始日</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2024年05月31日</w:t>
            </w:r>
            <w:bookmarkStart w:id="7" w:name="YSH_2660_JS_1"/>
            <w:bookmarkEnd w:id="7"/>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bookmarkStart w:id="8" w:name="YSH_2661_KS_1"/>
            <w:bookmarkEnd w:id="8"/>
            <w:r>
              <w:rPr>
                <w:rFonts w:ascii="宋体" w:hAnsi="宋体" w:hint="eastAsia"/>
                <w:color w:val="000000"/>
                <w:szCs w:val="21"/>
              </w:rPr>
              <w:t>赎回起始日</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2024年05月31日</w:t>
            </w:r>
            <w:bookmarkStart w:id="9" w:name="YSH_2661_JS_1"/>
            <w:bookmarkEnd w:id="9"/>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bookmarkStart w:id="10" w:name="YSH_2793_KS_1"/>
            <w:bookmarkEnd w:id="10"/>
            <w:r>
              <w:rPr>
                <w:rFonts w:ascii="宋体" w:hAnsi="宋体" w:hint="eastAsia"/>
                <w:color w:val="000000"/>
                <w:szCs w:val="21"/>
              </w:rPr>
              <w:t>转换转入起始日</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2024年05月31日</w:t>
            </w:r>
            <w:bookmarkStart w:id="11" w:name="YSH_2793_JS_1"/>
            <w:bookmarkEnd w:id="11"/>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bookmarkStart w:id="12" w:name="YSH_2794_KS_1"/>
            <w:bookmarkEnd w:id="12"/>
            <w:r>
              <w:rPr>
                <w:rFonts w:ascii="宋体" w:hAnsi="宋体" w:hint="eastAsia"/>
                <w:color w:val="000000"/>
                <w:szCs w:val="21"/>
              </w:rPr>
              <w:t>转换转出起始日</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2024年05月31日</w:t>
            </w:r>
            <w:bookmarkStart w:id="13" w:name="YSH_2794_JS_1"/>
            <w:bookmarkEnd w:id="13"/>
          </w:p>
        </w:tc>
      </w:tr>
      <w:tr w:rsidR="008B0422" w:rsidRPr="00C515EA">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bookmarkStart w:id="14" w:name="YSH_2795_KS_1"/>
            <w:bookmarkEnd w:id="14"/>
            <w:r>
              <w:rPr>
                <w:rFonts w:ascii="宋体" w:hAnsi="宋体" w:hint="eastAsia"/>
                <w:color w:val="000000"/>
                <w:szCs w:val="21"/>
              </w:rPr>
              <w:t>定期定额投资起始日</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2024年05月31日</w:t>
            </w:r>
            <w:bookmarkStart w:id="15" w:name="YSH_2795_JS_1"/>
            <w:bookmarkEnd w:id="15"/>
          </w:p>
        </w:tc>
      </w:tr>
      <w:tr w:rsidR="008B0422" w:rsidRPr="00C515EA">
        <w:trPr>
          <w:trHeight w:val="119"/>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bookmarkStart w:id="16" w:name="DYBG_1_BG2_KS"/>
            <w:bookmarkStart w:id="17" w:name="FJH_2_KS_1"/>
            <w:bookmarkEnd w:id="16"/>
            <w:bookmarkEnd w:id="17"/>
            <w:r>
              <w:rPr>
                <w:rFonts w:ascii="宋体" w:hAnsi="宋体" w:hint="eastAsia"/>
                <w:color w:val="000000"/>
                <w:szCs w:val="21"/>
              </w:rPr>
              <w:t>下属分级基金的基金简称</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中信保诚国企红利量化股票A</w:t>
            </w:r>
          </w:p>
        </w:tc>
        <w:tc>
          <w:tcPr>
            <w:tcW w:w="3292"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中信保诚国企红利量化股票C</w:t>
            </w:r>
          </w:p>
        </w:tc>
      </w:tr>
      <w:tr w:rsidR="008B0422" w:rsidRPr="00C515EA">
        <w:trPr>
          <w:trHeight w:val="119"/>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下属分级基金的交易代码</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020768</w:t>
            </w:r>
          </w:p>
        </w:tc>
        <w:tc>
          <w:tcPr>
            <w:tcW w:w="3292"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jc w:val="left"/>
              <w:rPr>
                <w:rFonts w:ascii="宋体" w:hAnsi="宋体" w:hint="eastAsia"/>
                <w:szCs w:val="21"/>
              </w:rPr>
            </w:pPr>
            <w:r>
              <w:rPr>
                <w:rFonts w:ascii="宋体" w:hAnsi="宋体" w:hint="eastAsia"/>
                <w:szCs w:val="21"/>
              </w:rPr>
              <w:t>020769</w:t>
            </w:r>
          </w:p>
        </w:tc>
      </w:tr>
      <w:tr w:rsidR="008B0422" w:rsidRPr="00C515EA">
        <w:trPr>
          <w:trHeight w:val="119"/>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rPr>
                <w:rFonts w:ascii="宋体" w:hAnsi="宋体" w:hint="eastAsia"/>
                <w:color w:val="000000"/>
                <w:szCs w:val="21"/>
              </w:rPr>
            </w:pPr>
            <w:r>
              <w:rPr>
                <w:rFonts w:ascii="宋体" w:hAnsi="宋体" w:hint="eastAsia"/>
                <w:color w:val="000000"/>
                <w:szCs w:val="21"/>
              </w:rPr>
              <w:t>该分级基金是否开放申购、赎回、转换转入、转换转出、定期定额投资</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ind w:right="210"/>
              <w:jc w:val="left"/>
              <w:rPr>
                <w:rFonts w:ascii="宋体" w:hAnsi="宋体" w:hint="eastAsia"/>
                <w:color w:val="000000"/>
                <w:szCs w:val="21"/>
              </w:rPr>
            </w:pPr>
            <w:r>
              <w:rPr>
                <w:rFonts w:ascii="宋体" w:hAnsi="宋体" w:hint="eastAsia"/>
                <w:szCs w:val="21"/>
              </w:rPr>
              <w:t>是</w:t>
            </w:r>
          </w:p>
        </w:tc>
        <w:tc>
          <w:tcPr>
            <w:tcW w:w="3292" w:type="dxa"/>
            <w:tcBorders>
              <w:top w:val="single" w:sz="4" w:space="0" w:color="000000"/>
              <w:left w:val="single" w:sz="4" w:space="0" w:color="000000"/>
              <w:bottom w:val="single" w:sz="4" w:space="0" w:color="000000"/>
              <w:right w:val="single" w:sz="4" w:space="0" w:color="000000"/>
            </w:tcBorders>
            <w:vAlign w:val="center"/>
            <w:hideMark/>
          </w:tcPr>
          <w:p w:rsidR="008B0422" w:rsidRDefault="008B0422">
            <w:pPr>
              <w:ind w:right="210"/>
              <w:jc w:val="left"/>
              <w:rPr>
                <w:rFonts w:ascii="宋体" w:hAnsi="宋体" w:hint="eastAsia"/>
                <w:color w:val="000000"/>
                <w:szCs w:val="21"/>
              </w:rPr>
            </w:pPr>
            <w:r>
              <w:rPr>
                <w:rFonts w:ascii="宋体" w:hAnsi="宋体" w:hint="eastAsia"/>
                <w:szCs w:val="21"/>
              </w:rPr>
              <w:t>是</w:t>
            </w:r>
            <w:bookmarkStart w:id="18" w:name="FJH_2_JS_1"/>
            <w:bookmarkStart w:id="19" w:name="DYBG_1_BG2_JS"/>
            <w:bookmarkEnd w:id="18"/>
            <w:bookmarkEnd w:id="19"/>
          </w:p>
        </w:tc>
      </w:tr>
    </w:tbl>
    <w:p w:rsidR="008B0422" w:rsidRDefault="008B0422">
      <w:pPr>
        <w:pStyle w:val="10"/>
        <w:spacing w:before="312"/>
        <w:ind w:left="0"/>
        <w:rPr>
          <w:rFonts w:hint="eastAsia"/>
        </w:rPr>
      </w:pPr>
      <w:bookmarkStart w:id="20" w:name="ZJ_2_KS"/>
      <w:bookmarkEnd w:id="20"/>
      <w:r>
        <w:rPr>
          <w:rFonts w:hint="eastAsia"/>
        </w:rPr>
        <w:t>日常申购、赎回（转换、定期定额投资）业务的办理时间</w:t>
      </w:r>
    </w:p>
    <w:p w:rsidR="008B0422" w:rsidRDefault="008B0422">
      <w:pPr>
        <w:spacing w:line="360" w:lineRule="auto"/>
        <w:jc w:val="left"/>
        <w:rPr>
          <w:rFonts w:ascii="宋体" w:hAnsi="宋体"/>
          <w:szCs w:val="21"/>
        </w:rPr>
      </w:pPr>
      <w:bookmarkStart w:id="21" w:name="WB_2_WB1"/>
      <w:bookmarkEnd w:id="21"/>
      <w:r>
        <w:rPr>
          <w:rFonts w:ascii="宋体" w:hAnsi="宋体" w:hint="eastAsia"/>
          <w:szCs w:val="21"/>
        </w:rPr>
        <w:t>  投资人在开放日办理中信保诚国企红利量化选股股票型证券投资基金（以下简称“本基金”）基金份额的申购和赎回，具体办理时间为上海证券交易所、深圳证券交易所的正常交易日的交易时间（如本基金参与港股通交易且遇香港联合交易所法定节假日或因其他原因暂</w:t>
      </w:r>
      <w:r>
        <w:rPr>
          <w:rFonts w:ascii="宋体" w:hAnsi="宋体" w:hint="eastAsia"/>
          <w:szCs w:val="21"/>
        </w:rPr>
        <w:lastRenderedPageBreak/>
        <w:t>停营业或港股通暂停交易的情形，基金管理人有权暂停办理基金份额的申购和赎回业务），但基金管理人根据法律法规、中国证监会的要求或基金合同的规定公告暂停申购、赎回时除外。开放日的具体业务办理时间在招募说明书中或基金管理人届时发布的相关公告中载明。</w:t>
      </w:r>
      <w:r>
        <w:rPr>
          <w:rFonts w:ascii="宋体" w:hAnsi="宋体" w:hint="eastAsia"/>
          <w:szCs w:val="21"/>
        </w:rPr>
        <w:br/>
        <w:t>  基金合同生效后，若出现新的证券/期货交易市场、证券/期货交易所交易时间变更或其他特殊情况，基金管理人将视情况对前述开放日及开放时间进行相应的调整，但应在实施日前依照《公开募集证券投资基金信息披露管理办法》的有关规定在规定媒介上公告。</w:t>
      </w:r>
      <w:r>
        <w:rPr>
          <w:rFonts w:ascii="宋体" w:hAnsi="宋体" w:hint="eastAsia"/>
          <w:szCs w:val="21"/>
        </w:rPr>
        <w:br/>
        <w:t>  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相应类别的基金份额申购、赎回的价格。</w:t>
      </w:r>
      <w:bookmarkStart w:id="22" w:name="ZJ_2_JS"/>
      <w:bookmarkEnd w:id="22"/>
    </w:p>
    <w:p w:rsidR="008B0422" w:rsidRDefault="008B0422">
      <w:pPr>
        <w:pStyle w:val="10"/>
        <w:spacing w:before="312"/>
        <w:ind w:left="0"/>
        <w:rPr>
          <w:rFonts w:hint="eastAsia"/>
          <w:szCs w:val="21"/>
        </w:rPr>
      </w:pPr>
      <w:bookmarkStart w:id="23" w:name="ZJ_3_KS"/>
      <w:bookmarkEnd w:id="23"/>
      <w:r>
        <w:rPr>
          <w:rFonts w:hint="eastAsia"/>
          <w:szCs w:val="21"/>
        </w:rPr>
        <w:t>日常申购业务</w:t>
      </w:r>
    </w:p>
    <w:p w:rsidR="008B0422" w:rsidRDefault="008B0422">
      <w:pPr>
        <w:pStyle w:val="2"/>
        <w:spacing w:before="312"/>
        <w:ind w:left="0"/>
      </w:pPr>
      <w:bookmarkStart w:id="24" w:name="ZJ_3_1_KS"/>
      <w:bookmarkEnd w:id="24"/>
      <w:r>
        <w:rPr>
          <w:rFonts w:hint="eastAsia"/>
        </w:rPr>
        <w:t>申购金额限制</w:t>
      </w:r>
    </w:p>
    <w:p w:rsidR="008B0422" w:rsidRDefault="008B0422">
      <w:pPr>
        <w:spacing w:line="360" w:lineRule="auto"/>
        <w:jc w:val="left"/>
        <w:rPr>
          <w:rFonts w:ascii="宋体" w:hAnsi="宋体"/>
          <w:szCs w:val="21"/>
        </w:rPr>
      </w:pPr>
      <w:bookmarkStart w:id="25" w:name="WB_3_1_WB1"/>
      <w:bookmarkEnd w:id="25"/>
      <w:r>
        <w:rPr>
          <w:rFonts w:ascii="宋体" w:hAnsi="宋体" w:hint="eastAsia"/>
          <w:szCs w:val="21"/>
        </w:rPr>
        <w:t>  1、通过销售机构申购本基金的单笔最低金额为1元（含申购费）人民币。各销售机构对本基金最低申购金额及交易级差有其他规定的，以各销售机构的业务规定为准。</w:t>
      </w:r>
      <w:r>
        <w:rPr>
          <w:rFonts w:ascii="宋体" w:hAnsi="宋体" w:hint="eastAsia"/>
          <w:szCs w:val="21"/>
        </w:rPr>
        <w:br/>
        <w:t>  投资人通过本公司直销中心首次申购最低金额为10万元（含申购费）人民币，追加申购每笔最低金额1000元（含申购费）人民币。本基金直销中心单笔申购最低金额可由基金管理人酌情调整。</w:t>
      </w:r>
      <w:r>
        <w:rPr>
          <w:rFonts w:ascii="宋体" w:hAnsi="宋体" w:hint="eastAsia"/>
          <w:szCs w:val="21"/>
        </w:rPr>
        <w:br/>
        <w:t>  投资者可多次申购，但单一投资者持有基金份额数不得达到或超过基金份额总数的50%（在基金运作过程中因基金份额赎回等情形导致被动达到或超过50%的除外）。</w:t>
      </w:r>
      <w:r>
        <w:rPr>
          <w:rFonts w:ascii="宋体" w:hAnsi="宋体" w:hint="eastAsia"/>
          <w:szCs w:val="21"/>
        </w:rPr>
        <w:br/>
        <w:t>  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Pr>
          <w:rFonts w:ascii="宋体" w:hAnsi="宋体" w:hint="eastAsia"/>
          <w:szCs w:val="21"/>
        </w:rPr>
        <w:br/>
        <w:t>  3、基金管理人可在法律法规允许的情况下，调整上述规定申购金额的数量限制。基金管理人必须在调整实施前依照《公开募集证券投资基金信息披露管理办法》的有关规定在规定媒介上公告。</w:t>
      </w:r>
      <w:bookmarkStart w:id="26" w:name="ZJ_3_1_JS"/>
      <w:bookmarkEnd w:id="26"/>
    </w:p>
    <w:p w:rsidR="008B0422" w:rsidRDefault="008B0422">
      <w:pPr>
        <w:pStyle w:val="2"/>
        <w:spacing w:before="312"/>
        <w:ind w:left="0"/>
        <w:rPr>
          <w:rFonts w:hint="eastAsia"/>
        </w:rPr>
      </w:pPr>
      <w:bookmarkStart w:id="27" w:name="ZJ_3_2_KS"/>
      <w:bookmarkEnd w:id="27"/>
      <w:r>
        <w:rPr>
          <w:rFonts w:hint="eastAsia"/>
        </w:rPr>
        <w:t>申购费率</w:t>
      </w:r>
    </w:p>
    <w:p w:rsidR="008B0422" w:rsidRDefault="008B0422">
      <w:pPr>
        <w:spacing w:line="360" w:lineRule="auto"/>
        <w:jc w:val="left"/>
        <w:rPr>
          <w:rFonts w:ascii="宋体" w:hAnsi="宋体"/>
          <w:szCs w:val="21"/>
        </w:rPr>
      </w:pPr>
      <w:bookmarkStart w:id="28" w:name="WB_3_2_WB1"/>
      <w:bookmarkEnd w:id="28"/>
      <w:r>
        <w:rPr>
          <w:rFonts w:ascii="宋体" w:hAnsi="宋体" w:hint="eastAsia"/>
          <w:szCs w:val="21"/>
        </w:rPr>
        <w:t>  1、本基金A类基金份额的申购费用由申购A类基金份额的投资人承担，不列入基金财产，主要用于本基金的市场推广、销售、登记等各项费用。C类基金份额不收取申购费用。</w:t>
      </w:r>
      <w:r>
        <w:rPr>
          <w:rFonts w:ascii="宋体" w:hAnsi="宋体" w:hint="eastAsia"/>
          <w:szCs w:val="21"/>
        </w:rPr>
        <w:br/>
        <w:t>  2、本基金的申购费率如下：</w:t>
      </w:r>
    </w:p>
    <w:p w:rsidR="008B0422" w:rsidRDefault="008B0422">
      <w:pPr>
        <w:spacing w:line="20" w:lineRule="exact"/>
        <w:ind w:firstLineChars="100" w:firstLine="210"/>
        <w:jc w:val="left"/>
        <w:rPr>
          <w:rFonts w:ascii="宋体" w:hAnsi="宋体" w:hint="eastAsia"/>
          <w:szCs w:val="21"/>
        </w:rPr>
      </w:pPr>
      <w:bookmarkStart w:id="29" w:name="FJGS_2345_3_2_A"/>
      <w:bookmarkStart w:id="30" w:name="PTFJ_2345_3_2_A"/>
      <w:bookmarkEnd w:id="29"/>
      <w:bookmarkEnd w:id="30"/>
    </w:p>
    <w:tbl>
      <w:tblPr>
        <w:tblW w:w="0" w:type="auto"/>
        <w:tblLook w:val="04A0"/>
      </w:tblPr>
      <w:tblGrid>
        <w:gridCol w:w="8522"/>
      </w:tblGrid>
      <w:tr w:rsidR="008B0422" w:rsidRPr="00C515EA" w:rsidTr="00C515EA">
        <w:tc>
          <w:tcPr>
            <w:tcW w:w="8522" w:type="dxa"/>
            <w:shd w:val="clear" w:color="auto" w:fill="auto"/>
            <w:vAlign w:val="center"/>
            <w:hideMark/>
          </w:tcPr>
          <w:p w:rsidR="008B0422" w:rsidRPr="00C515EA" w:rsidRDefault="008B0422">
            <w:pPr>
              <w:rPr>
                <w:rFonts w:ascii="宋体" w:hAnsi="宋体" w:hint="eastAsia"/>
                <w:szCs w:val="21"/>
              </w:rPr>
            </w:pPr>
            <w:bookmarkStart w:id="31" w:name="YSH_XN_9130_1_KS_3_2"/>
            <w:bookmarkEnd w:id="31"/>
            <w:r w:rsidRPr="00C515EA">
              <w:rPr>
                <w:rFonts w:ascii="宋体" w:hAnsi="宋体" w:hint="eastAsia"/>
                <w:szCs w:val="21"/>
              </w:rPr>
              <w:t>中信保诚国企红利量化股票A：</w:t>
            </w:r>
            <w:bookmarkStart w:id="32" w:name="YSH_XN_9130_1_JS_3_2"/>
            <w:bookmarkEnd w:id="32"/>
          </w:p>
        </w:tc>
      </w:tr>
    </w:tbl>
    <w:p w:rsidR="008B0422" w:rsidRDefault="008B0422">
      <w:pPr>
        <w:spacing w:line="20" w:lineRule="exact"/>
        <w:jc w:val="left"/>
        <w:rPr>
          <w:rFonts w:ascii="宋体" w:hAnsi="宋体" w:hint="eastAsia"/>
          <w:szCs w:val="21"/>
        </w:rPr>
      </w:pPr>
    </w:p>
    <w:p w:rsidR="008B0422" w:rsidRDefault="008B0422">
      <w:pPr>
        <w:ind w:firstLineChars="100" w:firstLine="210"/>
        <w:jc w:val="left"/>
        <w:rPr>
          <w:rFonts w:ascii="宋体" w:hAnsi="宋体" w:hint="eastAsia"/>
          <w:szCs w:val="21"/>
        </w:rPr>
      </w:pPr>
      <w:bookmarkStart w:id="33" w:name="BTBG_3_2_BG2"/>
      <w:bookmarkEnd w:id="33"/>
      <w:r>
        <w:rPr>
          <w:rFonts w:ascii="宋体" w:hAnsi="宋体" w:hint="eastAsia"/>
          <w:szCs w:val="21"/>
        </w:rPr>
        <w:t>申购费率如下：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申购金额（M/元）</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申购费率</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前端收费:</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 </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M&lt;50万</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1.50%</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50万≤M&lt;200万</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1.20%</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200万≤M&lt;500万</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0.80%</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M≥500万</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1000元/笔</w:t>
            </w:r>
          </w:p>
        </w:tc>
      </w:tr>
    </w:tbl>
    <w:p w:rsidR="008B0422" w:rsidRDefault="008B0422">
      <w:pPr>
        <w:spacing w:line="20" w:lineRule="exact"/>
        <w:ind w:firstLineChars="100" w:firstLine="210"/>
        <w:jc w:val="left"/>
        <w:rPr>
          <w:rFonts w:ascii="宋体" w:hAnsi="宋体" w:hint="eastAsia"/>
          <w:szCs w:val="21"/>
        </w:rPr>
      </w:pPr>
      <w:bookmarkStart w:id="34" w:name="FJGS_2345_3_2_B"/>
      <w:bookmarkStart w:id="35" w:name="PTFJ_2345_3_2_B"/>
      <w:bookmarkEnd w:id="34"/>
      <w:bookmarkEnd w:id="35"/>
    </w:p>
    <w:tbl>
      <w:tblPr>
        <w:tblW w:w="5000" w:type="pct"/>
        <w:tblBorders>
          <w:insideH w:val="single" w:sz="4" w:space="0" w:color="auto"/>
          <w:insideV w:val="single" w:sz="4" w:space="0" w:color="auto"/>
        </w:tblBorders>
        <w:tblLook w:val="04A0"/>
      </w:tblPr>
      <w:tblGrid>
        <w:gridCol w:w="8522"/>
      </w:tblGrid>
      <w:tr w:rsidR="008B0422" w:rsidRPr="00C515EA" w:rsidTr="00C515EA">
        <w:tc>
          <w:tcPr>
            <w:tcW w:w="8522" w:type="dxa"/>
            <w:shd w:val="clear" w:color="auto" w:fill="auto"/>
            <w:hideMark/>
          </w:tcPr>
          <w:p w:rsidR="008B0422" w:rsidRPr="00C515EA" w:rsidRDefault="008B0422" w:rsidP="00C515EA">
            <w:pPr>
              <w:jc w:val="left"/>
              <w:rPr>
                <w:rFonts w:ascii="宋体" w:hAnsi="宋体" w:hint="eastAsia"/>
                <w:szCs w:val="21"/>
              </w:rPr>
            </w:pPr>
            <w:bookmarkStart w:id="36" w:name="YSH_XN_9130_2_KS_3_2"/>
            <w:bookmarkEnd w:id="36"/>
            <w:r w:rsidRPr="00C515EA">
              <w:rPr>
                <w:rFonts w:ascii="宋体" w:hAnsi="宋体" w:hint="eastAsia"/>
                <w:szCs w:val="21"/>
              </w:rPr>
              <w:t>中信保诚国企红利量化股票C：</w:t>
            </w:r>
            <w:bookmarkStart w:id="37" w:name="YSH_XN_9130_2_JS_3_2"/>
            <w:bookmarkEnd w:id="37"/>
          </w:p>
        </w:tc>
      </w:tr>
    </w:tbl>
    <w:p w:rsidR="008B0422" w:rsidRDefault="008B0422">
      <w:pPr>
        <w:spacing w:line="20" w:lineRule="exact"/>
        <w:ind w:firstLineChars="100" w:firstLine="210"/>
        <w:jc w:val="left"/>
        <w:rPr>
          <w:rFonts w:ascii="宋体" w:hAnsi="宋体" w:hint="eastAsia"/>
          <w:szCs w:val="21"/>
        </w:rPr>
      </w:pPr>
    </w:p>
    <w:p w:rsidR="008B0422" w:rsidRDefault="008B0422">
      <w:pPr>
        <w:ind w:firstLineChars="100" w:firstLine="210"/>
        <w:jc w:val="left"/>
        <w:rPr>
          <w:rFonts w:ascii="宋体" w:hAnsi="宋体" w:hint="eastAsia"/>
          <w:szCs w:val="21"/>
        </w:rPr>
      </w:pPr>
      <w:bookmarkStart w:id="38" w:name="BTBG_3_2_BG3"/>
      <w:bookmarkEnd w:id="38"/>
      <w:r>
        <w:rPr>
          <w:rFonts w:ascii="宋体" w:hAnsi="宋体" w:hint="eastAsia"/>
          <w:szCs w:val="21"/>
        </w:rPr>
        <w:t>申购费率如下：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申购金额（M/元）</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申购费率</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0</w:t>
            </w:r>
          </w:p>
        </w:tc>
      </w:tr>
    </w:tbl>
    <w:p w:rsidR="008B0422" w:rsidRDefault="008B0422">
      <w:pPr>
        <w:spacing w:line="20" w:lineRule="exact"/>
        <w:jc w:val="left"/>
        <w:rPr>
          <w:rFonts w:ascii="宋体" w:hAnsi="宋体" w:hint="eastAsia"/>
          <w:szCs w:val="21"/>
        </w:rPr>
      </w:pPr>
    </w:p>
    <w:p w:rsidR="008B0422" w:rsidRDefault="008B0422">
      <w:pPr>
        <w:spacing w:line="20" w:lineRule="exact"/>
        <w:jc w:val="left"/>
        <w:rPr>
          <w:rFonts w:ascii="宋体" w:hAnsi="宋体" w:hint="eastAsia"/>
          <w:szCs w:val="21"/>
        </w:rPr>
      </w:pPr>
    </w:p>
    <w:p w:rsidR="008B0422" w:rsidRDefault="008B0422">
      <w:pPr>
        <w:spacing w:line="20" w:lineRule="exact"/>
        <w:jc w:val="left"/>
        <w:rPr>
          <w:rFonts w:ascii="宋体" w:hAnsi="宋体" w:hint="eastAsia"/>
          <w:szCs w:val="21"/>
        </w:rPr>
      </w:pPr>
    </w:p>
    <w:p w:rsidR="008B0422" w:rsidRDefault="008B0422">
      <w:pPr>
        <w:spacing w:line="360" w:lineRule="auto"/>
        <w:jc w:val="left"/>
        <w:rPr>
          <w:rFonts w:ascii="宋体" w:hAnsi="宋体" w:hint="eastAsia"/>
          <w:szCs w:val="21"/>
        </w:rPr>
      </w:pPr>
      <w:bookmarkStart w:id="39" w:name="WB_3_2_WB2"/>
      <w:bookmarkEnd w:id="39"/>
      <w:r>
        <w:rPr>
          <w:rFonts w:ascii="宋体" w:hAnsi="宋体" w:hint="eastAsia"/>
          <w:szCs w:val="21"/>
        </w:rPr>
        <w:t>注：M：申购金额；单位：元</w:t>
      </w:r>
      <w:bookmarkStart w:id="40" w:name="ZJ_3_2_JS"/>
      <w:bookmarkEnd w:id="40"/>
    </w:p>
    <w:p w:rsidR="008B0422" w:rsidRDefault="008B0422">
      <w:pPr>
        <w:pStyle w:val="10"/>
        <w:spacing w:before="312"/>
        <w:ind w:left="0"/>
        <w:rPr>
          <w:rFonts w:hint="eastAsia"/>
          <w:szCs w:val="21"/>
        </w:rPr>
      </w:pPr>
      <w:bookmarkStart w:id="41" w:name="ZJ_4_KS"/>
      <w:bookmarkEnd w:id="41"/>
      <w:r>
        <w:rPr>
          <w:rFonts w:hint="eastAsia"/>
          <w:szCs w:val="21"/>
        </w:rPr>
        <w:t>日常赎回业务</w:t>
      </w:r>
    </w:p>
    <w:p w:rsidR="008B0422" w:rsidRDefault="008B0422">
      <w:pPr>
        <w:pStyle w:val="2"/>
        <w:spacing w:before="312"/>
        <w:ind w:left="0"/>
      </w:pPr>
      <w:bookmarkStart w:id="42" w:name="ZJ_4_1_KS"/>
      <w:bookmarkEnd w:id="42"/>
      <w:r>
        <w:rPr>
          <w:rFonts w:hint="eastAsia"/>
        </w:rPr>
        <w:t>赎回份额限制</w:t>
      </w:r>
    </w:p>
    <w:p w:rsidR="008B0422" w:rsidRDefault="008B0422">
      <w:pPr>
        <w:spacing w:line="360" w:lineRule="auto"/>
        <w:jc w:val="left"/>
        <w:rPr>
          <w:rFonts w:ascii="宋体" w:hAnsi="宋体"/>
          <w:szCs w:val="21"/>
        </w:rPr>
      </w:pPr>
      <w:bookmarkStart w:id="43" w:name="WB_4_1_WB1"/>
      <w:bookmarkEnd w:id="43"/>
      <w:r>
        <w:rPr>
          <w:rFonts w:ascii="宋体" w:hAnsi="宋体" w:hint="eastAsia"/>
          <w:szCs w:val="21"/>
        </w:rPr>
        <w:t>  1、基金份额持有人在销售机构赎回时，每笔赎回申请不得低于1份；基金份额持有人赎回时或赎回后将导致在销售机构（网点）保留的基金份额余额不足1份的，需一并全部赎回。</w:t>
      </w:r>
      <w:r>
        <w:rPr>
          <w:rFonts w:ascii="宋体" w:hAnsi="宋体" w:hint="eastAsia"/>
          <w:szCs w:val="21"/>
        </w:rPr>
        <w:br/>
        <w:t>  2、基金份额持有人每个交易账户的最低份额余额为1份。基金份额持有人因赎回、转换等原因导致其单个开放式基金账户内剩余的基金份额低于1份时，登记系统可对该剩余的基金份额自动进行强制赎回处理。</w:t>
      </w:r>
      <w:r>
        <w:rPr>
          <w:rFonts w:ascii="宋体" w:hAnsi="宋体" w:hint="eastAsia"/>
          <w:szCs w:val="21"/>
        </w:rPr>
        <w:br/>
        <w:t>  3、基金管理人可在法律法规允许的情况下，调整上述规定赎回份额的数量限制。基金管理人必须在调整实施前依照《公开募集证券投资基金信息披露管理办法》的有关规定在规定媒介上公告。</w:t>
      </w:r>
      <w:bookmarkStart w:id="44" w:name="ZJ_4_1_JS"/>
      <w:bookmarkEnd w:id="44"/>
    </w:p>
    <w:p w:rsidR="008B0422" w:rsidRDefault="008B0422">
      <w:pPr>
        <w:pStyle w:val="2"/>
        <w:spacing w:before="312"/>
        <w:ind w:left="0"/>
        <w:rPr>
          <w:rFonts w:hint="eastAsia"/>
        </w:rPr>
      </w:pPr>
      <w:bookmarkStart w:id="45" w:name="ZJ_4_2_KS"/>
      <w:bookmarkEnd w:id="45"/>
      <w:r>
        <w:rPr>
          <w:rFonts w:hint="eastAsia"/>
        </w:rPr>
        <w:t>赎回费率</w:t>
      </w:r>
    </w:p>
    <w:p w:rsidR="008B0422" w:rsidRDefault="008B0422">
      <w:pPr>
        <w:spacing w:line="360" w:lineRule="auto"/>
        <w:jc w:val="left"/>
        <w:rPr>
          <w:rFonts w:ascii="宋体" w:hAnsi="宋体"/>
          <w:szCs w:val="21"/>
        </w:rPr>
      </w:pPr>
      <w:bookmarkStart w:id="46" w:name="WB_4_2_WB1"/>
      <w:bookmarkEnd w:id="46"/>
      <w:r>
        <w:rPr>
          <w:rFonts w:ascii="宋体" w:hAnsi="宋体" w:hint="eastAsia"/>
          <w:szCs w:val="21"/>
        </w:rPr>
        <w:t>  本基金A类、C类基金份额均收取赎回费。赎回费用由赎回基金份额的基金份额持有人承担，在基金份额持有人赎回基金份额时收取。</w:t>
      </w:r>
      <w:r>
        <w:rPr>
          <w:rFonts w:ascii="宋体" w:hAnsi="宋体" w:hint="eastAsia"/>
          <w:szCs w:val="21"/>
        </w:rPr>
        <w:br/>
        <w:t>  基金管理人可以在不违反法律法规的情形下，确定赎回费用归入基金财产的比例，未计入基金财产的部分用于支付登记费和其他必要的手续费。</w:t>
      </w:r>
      <w:r>
        <w:rPr>
          <w:rFonts w:ascii="宋体" w:hAnsi="宋体" w:hint="eastAsia"/>
          <w:szCs w:val="21"/>
        </w:rPr>
        <w:br/>
        <w:t>  对持续持有期少于7日的投资者收取不低于1.5%的赎回费，并全额计入基金财产。</w:t>
      </w:r>
      <w:r>
        <w:rPr>
          <w:rFonts w:ascii="宋体" w:hAnsi="宋体" w:hint="eastAsia"/>
          <w:szCs w:val="21"/>
        </w:rPr>
        <w:br/>
        <w:t>  具体赎回费率结构如下：</w:t>
      </w:r>
    </w:p>
    <w:p w:rsidR="008B0422" w:rsidRDefault="008B0422">
      <w:pPr>
        <w:spacing w:line="20" w:lineRule="exact"/>
        <w:ind w:firstLineChars="100" w:firstLine="210"/>
        <w:jc w:val="left"/>
        <w:rPr>
          <w:rFonts w:ascii="宋体" w:hAnsi="宋体" w:hint="eastAsia"/>
          <w:szCs w:val="21"/>
        </w:rPr>
      </w:pPr>
    </w:p>
    <w:tbl>
      <w:tblPr>
        <w:tblW w:w="0" w:type="auto"/>
        <w:tblLook w:val="04A0"/>
      </w:tblPr>
      <w:tblGrid>
        <w:gridCol w:w="8522"/>
      </w:tblGrid>
      <w:tr w:rsidR="008B0422" w:rsidRPr="00C515EA" w:rsidTr="00C515EA">
        <w:tc>
          <w:tcPr>
            <w:tcW w:w="8522" w:type="dxa"/>
            <w:shd w:val="clear" w:color="auto" w:fill="auto"/>
            <w:vAlign w:val="center"/>
            <w:hideMark/>
          </w:tcPr>
          <w:p w:rsidR="008B0422" w:rsidRPr="00C515EA" w:rsidRDefault="008B0422">
            <w:pPr>
              <w:rPr>
                <w:rFonts w:ascii="宋体" w:hAnsi="宋体" w:hint="eastAsia"/>
                <w:szCs w:val="21"/>
              </w:rPr>
            </w:pPr>
            <w:bookmarkStart w:id="47" w:name="YSH_XN_9192_1_KS_4_2"/>
            <w:bookmarkStart w:id="48" w:name="BG_4_2_BG2_XH1"/>
            <w:bookmarkEnd w:id="47"/>
            <w:bookmarkEnd w:id="48"/>
            <w:r w:rsidRPr="00C515EA">
              <w:rPr>
                <w:rFonts w:ascii="宋体" w:hAnsi="宋体" w:hint="eastAsia"/>
                <w:szCs w:val="21"/>
              </w:rPr>
              <w:t>中信保诚国企红利量化股票A：</w:t>
            </w:r>
            <w:bookmarkStart w:id="49" w:name="YSH_XN_9192_1_JS_4_2"/>
            <w:bookmarkEnd w:id="49"/>
          </w:p>
        </w:tc>
      </w:tr>
    </w:tbl>
    <w:p w:rsidR="008B0422" w:rsidRDefault="008B0422">
      <w:pPr>
        <w:spacing w:line="20" w:lineRule="exact"/>
        <w:jc w:val="left"/>
        <w:rPr>
          <w:rFonts w:ascii="宋体" w:hAnsi="宋体" w:hint="eastAsia"/>
          <w:szCs w:val="21"/>
        </w:rPr>
      </w:pPr>
    </w:p>
    <w:p w:rsidR="008B0422" w:rsidRDefault="008B0422">
      <w:pPr>
        <w:ind w:firstLineChars="100" w:firstLine="210"/>
        <w:jc w:val="left"/>
        <w:rPr>
          <w:rFonts w:ascii="宋体" w:hAnsi="宋体" w:hint="eastAsia"/>
          <w:szCs w:val="21"/>
        </w:rPr>
      </w:pPr>
      <w:bookmarkStart w:id="50" w:name="BTBG_4_2_BG2"/>
      <w:bookmarkEnd w:id="50"/>
      <w:r>
        <w:rPr>
          <w:rFonts w:ascii="宋体" w:hAnsi="宋体" w:hint="eastAsia"/>
          <w:szCs w:val="21"/>
        </w:rPr>
        <w:t>赎回费率如下：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持续持有期（N）</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赎回费率</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N&lt;7天</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1.50%</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7天≤N&lt;30天</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0.75%</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30天≤N&lt;180天</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0.50%</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N≥180天</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0.00%</w:t>
            </w:r>
          </w:p>
        </w:tc>
      </w:tr>
    </w:tbl>
    <w:p w:rsidR="008B0422" w:rsidRDefault="008B0422">
      <w:pPr>
        <w:spacing w:line="20" w:lineRule="exact"/>
        <w:ind w:firstLineChars="100" w:firstLine="210"/>
        <w:jc w:val="left"/>
        <w:rPr>
          <w:rFonts w:ascii="宋体" w:hAnsi="宋体" w:hint="eastAsia"/>
          <w:szCs w:val="21"/>
        </w:rPr>
      </w:pPr>
    </w:p>
    <w:tbl>
      <w:tblPr>
        <w:tblW w:w="5000" w:type="pct"/>
        <w:tblBorders>
          <w:insideH w:val="single" w:sz="4" w:space="0" w:color="auto"/>
          <w:insideV w:val="single" w:sz="4" w:space="0" w:color="auto"/>
        </w:tblBorders>
        <w:tblLook w:val="04A0"/>
      </w:tblPr>
      <w:tblGrid>
        <w:gridCol w:w="8522"/>
      </w:tblGrid>
      <w:tr w:rsidR="008B0422" w:rsidRPr="00C515EA" w:rsidTr="00C515EA">
        <w:tc>
          <w:tcPr>
            <w:tcW w:w="8522" w:type="dxa"/>
            <w:shd w:val="clear" w:color="auto" w:fill="auto"/>
            <w:hideMark/>
          </w:tcPr>
          <w:p w:rsidR="008B0422" w:rsidRPr="00C515EA" w:rsidRDefault="008B0422" w:rsidP="00C515EA">
            <w:pPr>
              <w:jc w:val="left"/>
              <w:rPr>
                <w:rFonts w:ascii="宋体" w:hAnsi="宋体" w:hint="eastAsia"/>
                <w:szCs w:val="21"/>
              </w:rPr>
            </w:pPr>
            <w:bookmarkStart w:id="51" w:name="YSH_XN_9192_2_KS_4_2"/>
            <w:bookmarkStart w:id="52" w:name="BG_4_2_BG3_XH1"/>
            <w:bookmarkEnd w:id="51"/>
            <w:bookmarkEnd w:id="52"/>
            <w:r w:rsidRPr="00C515EA">
              <w:rPr>
                <w:rFonts w:ascii="宋体" w:hAnsi="宋体" w:hint="eastAsia"/>
                <w:szCs w:val="21"/>
              </w:rPr>
              <w:t>中信保诚国企红利量化股票C：</w:t>
            </w:r>
            <w:bookmarkStart w:id="53" w:name="YSH_XN_9192_2_JS_4_2"/>
            <w:bookmarkEnd w:id="53"/>
          </w:p>
        </w:tc>
      </w:tr>
    </w:tbl>
    <w:p w:rsidR="008B0422" w:rsidRDefault="008B0422">
      <w:pPr>
        <w:spacing w:line="20" w:lineRule="exact"/>
        <w:ind w:firstLineChars="100" w:firstLine="210"/>
        <w:jc w:val="left"/>
        <w:rPr>
          <w:rFonts w:ascii="宋体" w:hAnsi="宋体" w:hint="eastAsia"/>
          <w:szCs w:val="21"/>
        </w:rPr>
      </w:pPr>
    </w:p>
    <w:p w:rsidR="008B0422" w:rsidRDefault="008B0422">
      <w:pPr>
        <w:ind w:firstLineChars="100" w:firstLine="210"/>
        <w:jc w:val="left"/>
        <w:rPr>
          <w:rFonts w:ascii="宋体" w:hAnsi="宋体" w:hint="eastAsia"/>
          <w:szCs w:val="21"/>
        </w:rPr>
      </w:pPr>
      <w:bookmarkStart w:id="54" w:name="BTBG_4_2_BG3"/>
      <w:bookmarkEnd w:id="54"/>
      <w:r>
        <w:rPr>
          <w:rFonts w:ascii="宋体" w:hAnsi="宋体" w:hint="eastAsia"/>
          <w:szCs w:val="21"/>
        </w:rPr>
        <w:t>赎回费率如下：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持续持有期（N）</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赎回费率</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N&lt;7天</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1.50%</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7天≤N&lt;30天</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0.50%</w:t>
            </w:r>
          </w:p>
        </w:tc>
      </w:tr>
      <w:tr w:rsidR="008B0422" w:rsidRPr="00C515EA" w:rsidTr="00C515EA">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N≥30天</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8B0422" w:rsidRPr="00C515EA" w:rsidRDefault="008B0422" w:rsidP="00C515EA">
            <w:pPr>
              <w:jc w:val="left"/>
              <w:rPr>
                <w:rFonts w:ascii="宋体" w:hAnsi="宋体" w:hint="eastAsia"/>
                <w:szCs w:val="21"/>
              </w:rPr>
            </w:pPr>
            <w:r w:rsidRPr="00C515EA">
              <w:rPr>
                <w:rFonts w:ascii="宋体" w:hAnsi="宋体" w:hint="eastAsia"/>
                <w:szCs w:val="21"/>
              </w:rPr>
              <w:t>0.00%</w:t>
            </w:r>
          </w:p>
        </w:tc>
      </w:tr>
    </w:tbl>
    <w:p w:rsidR="008B0422" w:rsidRDefault="008B0422">
      <w:pPr>
        <w:spacing w:line="20" w:lineRule="exact"/>
        <w:jc w:val="left"/>
        <w:rPr>
          <w:rFonts w:ascii="宋体" w:hAnsi="宋体" w:hint="eastAsia"/>
          <w:szCs w:val="21"/>
        </w:rPr>
      </w:pPr>
    </w:p>
    <w:p w:rsidR="008B0422" w:rsidRDefault="008B0422">
      <w:pPr>
        <w:spacing w:line="20" w:lineRule="exact"/>
        <w:jc w:val="left"/>
        <w:rPr>
          <w:rFonts w:ascii="宋体" w:hAnsi="宋体" w:hint="eastAsia"/>
          <w:szCs w:val="21"/>
        </w:rPr>
      </w:pPr>
    </w:p>
    <w:p w:rsidR="008B0422" w:rsidRDefault="008B0422">
      <w:pPr>
        <w:spacing w:line="20" w:lineRule="exact"/>
        <w:jc w:val="left"/>
        <w:rPr>
          <w:rFonts w:ascii="宋体" w:hAnsi="宋体" w:hint="eastAsia"/>
          <w:szCs w:val="21"/>
        </w:rPr>
      </w:pPr>
    </w:p>
    <w:p w:rsidR="008B0422" w:rsidRDefault="008B0422">
      <w:pPr>
        <w:spacing w:line="20" w:lineRule="exact"/>
        <w:jc w:val="left"/>
        <w:rPr>
          <w:rFonts w:ascii="宋体" w:hAnsi="宋体" w:hint="eastAsia"/>
          <w:szCs w:val="21"/>
        </w:rPr>
      </w:pPr>
    </w:p>
    <w:p w:rsidR="008B0422" w:rsidRDefault="008B0422">
      <w:pPr>
        <w:spacing w:line="20" w:lineRule="exact"/>
        <w:jc w:val="left"/>
        <w:rPr>
          <w:rFonts w:ascii="宋体" w:hAnsi="宋体" w:hint="eastAsia"/>
          <w:szCs w:val="21"/>
        </w:rPr>
      </w:pPr>
    </w:p>
    <w:p w:rsidR="008B0422" w:rsidRDefault="008B0422">
      <w:pPr>
        <w:spacing w:line="20" w:lineRule="exact"/>
        <w:jc w:val="left"/>
        <w:rPr>
          <w:rFonts w:ascii="宋体" w:hAnsi="宋体" w:hint="eastAsia"/>
          <w:szCs w:val="21"/>
        </w:rPr>
      </w:pPr>
    </w:p>
    <w:p w:rsidR="008B0422" w:rsidRDefault="008B0422">
      <w:pPr>
        <w:spacing w:line="360" w:lineRule="auto"/>
        <w:jc w:val="left"/>
        <w:rPr>
          <w:rFonts w:ascii="宋体" w:hAnsi="宋体" w:hint="eastAsia"/>
          <w:szCs w:val="21"/>
        </w:rPr>
      </w:pPr>
      <w:bookmarkStart w:id="55" w:name="WB_4_2_WB2"/>
      <w:bookmarkEnd w:id="55"/>
      <w:r>
        <w:rPr>
          <w:rFonts w:ascii="宋体" w:hAnsi="宋体" w:hint="eastAsia"/>
          <w:szCs w:val="21"/>
        </w:rPr>
        <w:t>注：（1）A类基金份额：对持续持有期少于7日的投资人收取不低于1.5%的赎回费，对持续持有期少于30日的投资人收取不低于0.75%的赎回费，并将上述赎回费全额计入基金财产；对持续持有期少于3个月的投资人收取不低于0.5%的赎回费，并将不低于赎回费总额的75%计入基金财产；对持续持有期不少于3个月但少于6个月的投资人收取不低于0.5%的赎回费，并将不低于赎回费总额的50%计入基金财产；对持续持有期不少于6个月的投资人，将不低于赎回费总额的25%计入基金财产；其余用于支付登记费和其他必要的手续费。</w:t>
      </w:r>
      <w:r>
        <w:rPr>
          <w:rFonts w:ascii="宋体" w:hAnsi="宋体" w:hint="eastAsia"/>
          <w:szCs w:val="21"/>
        </w:rPr>
        <w:br/>
        <w:t>（2）C类基金份额：对持续持有期少于30天的投资人收取的赎回费，将全额计入基金财产。</w:t>
      </w:r>
      <w:bookmarkStart w:id="56" w:name="ZJ_4_2_JS"/>
      <w:bookmarkEnd w:id="56"/>
    </w:p>
    <w:p w:rsidR="008B0422" w:rsidRDefault="008B0422">
      <w:pPr>
        <w:pStyle w:val="10"/>
        <w:spacing w:before="312"/>
        <w:ind w:left="0"/>
        <w:rPr>
          <w:rFonts w:hint="eastAsia"/>
          <w:szCs w:val="21"/>
        </w:rPr>
      </w:pPr>
      <w:bookmarkStart w:id="57" w:name="ZJ_5_KS"/>
      <w:bookmarkEnd w:id="57"/>
      <w:r>
        <w:rPr>
          <w:rFonts w:hint="eastAsia"/>
          <w:szCs w:val="21"/>
        </w:rPr>
        <w:t>日常转换业务</w:t>
      </w:r>
    </w:p>
    <w:p w:rsidR="008B0422" w:rsidRDefault="008B0422">
      <w:pPr>
        <w:pStyle w:val="2"/>
        <w:spacing w:before="312"/>
        <w:ind w:left="422" w:hanging="422"/>
      </w:pPr>
      <w:bookmarkStart w:id="58" w:name="ZJ_5_1_KS"/>
      <w:bookmarkEnd w:id="58"/>
      <w:r>
        <w:rPr>
          <w:rFonts w:hint="eastAsia"/>
        </w:rPr>
        <w:t>转换费率</w:t>
      </w:r>
    </w:p>
    <w:p w:rsidR="008B0422" w:rsidRDefault="008B0422">
      <w:pPr>
        <w:spacing w:line="360" w:lineRule="auto"/>
        <w:jc w:val="left"/>
        <w:rPr>
          <w:rFonts w:ascii="宋体" w:hAnsi="宋体"/>
          <w:szCs w:val="21"/>
        </w:rPr>
      </w:pPr>
      <w:bookmarkStart w:id="59" w:name="WB_5_1_WB1"/>
      <w:bookmarkEnd w:id="59"/>
      <w:r>
        <w:rPr>
          <w:rFonts w:ascii="宋体" w:hAnsi="宋体" w:hint="eastAsia"/>
          <w:szCs w:val="21"/>
        </w:rPr>
        <w:t>  1、基金的转换按照转出基金的赎回费用加上转出与转入基金申购费用补差的标准收取费用。（1）转出基金赎回费：基于每份转出基金份额在转换申请日的适用赎回费率，计算转出基金赎回费。（2）申购费补差：两只前端收费基金（包括申购费为零的基金）之间的转换，按照转出金额分别计算转换申请日转出基金和转入基金的申购费。如转入基金的申购费大于转出基金申购费，则按差额收取申购补差费；如转入基金的申购费小于等于转出基金申购费，则不收取申购补差费。</w:t>
      </w:r>
      <w:r>
        <w:rPr>
          <w:rFonts w:ascii="宋体" w:hAnsi="宋体" w:hint="eastAsia"/>
          <w:szCs w:val="21"/>
        </w:rPr>
        <w:br/>
        <w:t>  具体申购费率标准请见各基金的相关法律文件和最新公告。基金转换费用由基金持有人承担。</w:t>
      </w:r>
      <w:r>
        <w:rPr>
          <w:rFonts w:ascii="宋体" w:hAnsi="宋体" w:hint="eastAsia"/>
          <w:szCs w:val="21"/>
        </w:rPr>
        <w:br/>
        <w:t>  2、基金转换的计算公式如下：</w:t>
      </w:r>
      <w:r>
        <w:rPr>
          <w:rFonts w:ascii="宋体" w:hAnsi="宋体" w:hint="eastAsia"/>
          <w:szCs w:val="21"/>
        </w:rPr>
        <w:br/>
        <w:t>  转出总额＝转出份额×转出基金当日基金份额净值</w:t>
      </w:r>
      <w:r>
        <w:rPr>
          <w:rFonts w:ascii="宋体" w:hAnsi="宋体" w:hint="eastAsia"/>
          <w:szCs w:val="21"/>
        </w:rPr>
        <w:br/>
        <w:t>  转出基金赎回费＝转出总额×转出基金赎回费率</w:t>
      </w:r>
      <w:r>
        <w:rPr>
          <w:rFonts w:ascii="宋体" w:hAnsi="宋体" w:hint="eastAsia"/>
          <w:szCs w:val="21"/>
        </w:rPr>
        <w:br/>
        <w:t>  转出净额＝转出总额－转出基金赎回费</w:t>
      </w:r>
      <w:r>
        <w:rPr>
          <w:rFonts w:ascii="宋体" w:hAnsi="宋体" w:hint="eastAsia"/>
          <w:szCs w:val="21"/>
        </w:rPr>
        <w:br/>
        <w:t>  申购费补差（外扣）＝转出净额×转入基金的申购费率/（1＋转入基金申购费率）－转出净额×转出基金申购费率/（1＋转出基金申购费率）</w:t>
      </w:r>
      <w:r>
        <w:rPr>
          <w:rFonts w:ascii="宋体" w:hAnsi="宋体" w:hint="eastAsia"/>
          <w:szCs w:val="21"/>
        </w:rPr>
        <w:br/>
        <w:t>  由非货币型基金转出时：</w:t>
      </w:r>
      <w:r>
        <w:rPr>
          <w:rFonts w:ascii="宋体" w:hAnsi="宋体" w:hint="eastAsia"/>
          <w:szCs w:val="21"/>
        </w:rPr>
        <w:br/>
        <w:t>  转入份额＝（转出净额－补差费）/转入基金当日基金份额净值</w:t>
      </w:r>
      <w:r>
        <w:rPr>
          <w:rFonts w:ascii="宋体" w:hAnsi="宋体" w:hint="eastAsia"/>
          <w:szCs w:val="21"/>
        </w:rPr>
        <w:br/>
        <w:t>  由货币型基金转出时：</w:t>
      </w:r>
      <w:r>
        <w:rPr>
          <w:rFonts w:ascii="宋体" w:hAnsi="宋体" w:hint="eastAsia"/>
          <w:szCs w:val="21"/>
        </w:rPr>
        <w:br/>
        <w:t>  转入份额＝（转出净额－补差费+结转收益）/转入基金当日基金份额净值</w:t>
      </w:r>
      <w:bookmarkStart w:id="60" w:name="ZJ_5_1_JS"/>
      <w:bookmarkEnd w:id="60"/>
    </w:p>
    <w:p w:rsidR="008B0422" w:rsidRDefault="008B0422">
      <w:pPr>
        <w:pStyle w:val="2"/>
        <w:spacing w:before="312"/>
        <w:ind w:left="422" w:hanging="422"/>
        <w:rPr>
          <w:rFonts w:hint="eastAsia"/>
        </w:rPr>
      </w:pPr>
      <w:bookmarkStart w:id="61" w:name="ZJ_5_2_KS"/>
      <w:bookmarkEnd w:id="61"/>
      <w:r>
        <w:rPr>
          <w:rFonts w:hint="eastAsia"/>
        </w:rPr>
        <w:t>其他与转换相关的事项</w:t>
      </w:r>
    </w:p>
    <w:p w:rsidR="008B0422" w:rsidRDefault="008B0422">
      <w:pPr>
        <w:spacing w:line="360" w:lineRule="auto"/>
        <w:jc w:val="left"/>
        <w:rPr>
          <w:rFonts w:ascii="宋体" w:hAnsi="宋体"/>
          <w:szCs w:val="21"/>
        </w:rPr>
      </w:pPr>
      <w:bookmarkStart w:id="62" w:name="WB_5_2_WB1"/>
      <w:bookmarkEnd w:id="62"/>
      <w:r>
        <w:rPr>
          <w:rFonts w:ascii="宋体" w:hAnsi="宋体" w:hint="eastAsia"/>
          <w:szCs w:val="21"/>
        </w:rPr>
        <w:t>  （1）业务办理时间</w:t>
      </w:r>
      <w:r>
        <w:rPr>
          <w:rFonts w:ascii="宋体" w:hAnsi="宋体" w:hint="eastAsia"/>
          <w:szCs w:val="21"/>
        </w:rPr>
        <w:br/>
        <w:t>  投资者可在对应转换转入与转换转出基金的开放日申请办理基金转换业务，具体办理时间与基金申购、赎回业务办理时间相同（本公司公告暂停申购、赎回时除外）。</w:t>
      </w:r>
      <w:r>
        <w:rPr>
          <w:rFonts w:ascii="宋体" w:hAnsi="宋体" w:hint="eastAsia"/>
          <w:szCs w:val="21"/>
        </w:rPr>
        <w:br/>
        <w:t>  （2）有关基金转换业务的具体业务规则敬请查询2015年2月9日刊登在《中国证券报》、《上海证券报》、《证券时报》及本公司网站的《信诚基金管理有限公司关于调整开放式基金转换业务规则的公告》。</w:t>
      </w:r>
      <w:bookmarkStart w:id="63" w:name="ZJ_5_2_JS"/>
      <w:bookmarkStart w:id="64" w:name="ZJ_5_JS"/>
      <w:bookmarkEnd w:id="63"/>
      <w:bookmarkEnd w:id="64"/>
    </w:p>
    <w:p w:rsidR="008B0422" w:rsidRDefault="008B0422">
      <w:pPr>
        <w:pStyle w:val="10"/>
        <w:spacing w:before="312"/>
        <w:ind w:left="0"/>
        <w:rPr>
          <w:rFonts w:hint="eastAsia"/>
          <w:szCs w:val="21"/>
        </w:rPr>
      </w:pPr>
      <w:bookmarkStart w:id="65" w:name="ZJ_6_KS"/>
      <w:bookmarkEnd w:id="65"/>
      <w:r>
        <w:rPr>
          <w:rFonts w:hint="eastAsia"/>
          <w:szCs w:val="21"/>
        </w:rPr>
        <w:t>定期定额投资业务</w:t>
      </w:r>
    </w:p>
    <w:p w:rsidR="008B0422" w:rsidRDefault="008B0422">
      <w:pPr>
        <w:spacing w:line="360" w:lineRule="auto"/>
        <w:jc w:val="left"/>
        <w:rPr>
          <w:rFonts w:ascii="宋体" w:hAnsi="宋体"/>
          <w:szCs w:val="21"/>
        </w:rPr>
      </w:pPr>
      <w:bookmarkStart w:id="66" w:name="WB_6_WB1"/>
      <w:bookmarkEnd w:id="66"/>
      <w:r>
        <w:rPr>
          <w:rFonts w:ascii="宋体" w:hAnsi="宋体" w:hint="eastAsia"/>
          <w:szCs w:val="21"/>
        </w:rPr>
        <w:t>  1、投资者可以与代销机构约定每月固定扣款金额。本基金开通定期定额投资业务的代销机构以代销机构相关规则为准。</w:t>
      </w:r>
      <w:r>
        <w:rPr>
          <w:rFonts w:ascii="宋体" w:hAnsi="宋体" w:hint="eastAsia"/>
          <w:szCs w:val="21"/>
        </w:rPr>
        <w:br/>
        <w:t>  2、有关定期定额投资的具体业务规则请查询2008年10月6日刊登在《中国证券报》、《上海证券报》、《证券时报》及本公司网站的《信诚基金管理有限公司关于旗下基金定期定额投资业务规则的公告》。</w:t>
      </w:r>
      <w:bookmarkStart w:id="67" w:name="ZJ_6_JS"/>
      <w:bookmarkEnd w:id="67"/>
    </w:p>
    <w:p w:rsidR="008B0422" w:rsidRDefault="008B0422">
      <w:pPr>
        <w:pStyle w:val="10"/>
        <w:spacing w:before="312"/>
        <w:ind w:left="0"/>
        <w:rPr>
          <w:rFonts w:hint="eastAsia"/>
          <w:szCs w:val="21"/>
        </w:rPr>
      </w:pPr>
      <w:bookmarkStart w:id="68" w:name="ZJ_7_KS"/>
      <w:bookmarkEnd w:id="68"/>
      <w:r>
        <w:rPr>
          <w:rFonts w:hint="eastAsia"/>
          <w:szCs w:val="21"/>
        </w:rPr>
        <w:t>基金销售机构</w:t>
      </w:r>
    </w:p>
    <w:p w:rsidR="008B0422" w:rsidRDefault="008B0422">
      <w:pPr>
        <w:pStyle w:val="2"/>
        <w:spacing w:before="312"/>
        <w:ind w:left="0"/>
      </w:pPr>
      <w:bookmarkStart w:id="69" w:name="ZJ_7_1_KS"/>
      <w:bookmarkEnd w:id="69"/>
      <w:r>
        <w:rPr>
          <w:rFonts w:hint="eastAsia"/>
        </w:rPr>
        <w:t>场外销售机构</w:t>
      </w:r>
    </w:p>
    <w:p w:rsidR="008B0422" w:rsidRDefault="008B0422">
      <w:pPr>
        <w:pStyle w:val="3"/>
        <w:spacing w:before="312"/>
        <w:ind w:left="0"/>
      </w:pPr>
      <w:bookmarkStart w:id="70" w:name="ZJ_7_1_1_KS"/>
      <w:bookmarkEnd w:id="70"/>
      <w:r>
        <w:rPr>
          <w:rFonts w:hint="eastAsia"/>
        </w:rPr>
        <w:t>直销机构</w:t>
      </w:r>
    </w:p>
    <w:p w:rsidR="008B0422" w:rsidRDefault="008B0422">
      <w:pPr>
        <w:spacing w:line="360" w:lineRule="auto"/>
        <w:jc w:val="left"/>
        <w:rPr>
          <w:rFonts w:ascii="宋体" w:hAnsi="宋体" w:hint="eastAsia"/>
          <w:szCs w:val="21"/>
        </w:rPr>
      </w:pPr>
      <w:bookmarkStart w:id="71" w:name="WB_7_1_1_WB1"/>
      <w:bookmarkEnd w:id="71"/>
      <w:r>
        <w:rPr>
          <w:rFonts w:ascii="宋体" w:hAnsi="宋体" w:hint="eastAsia"/>
          <w:szCs w:val="21"/>
        </w:rPr>
        <w:t>  中信保诚基金管理有限公司</w:t>
      </w:r>
      <w:r>
        <w:rPr>
          <w:rFonts w:ascii="宋体" w:hAnsi="宋体" w:hint="eastAsia"/>
          <w:szCs w:val="21"/>
        </w:rPr>
        <w:br/>
        <w:t>  直销柜台：中国（上海）自由贸易试验区世纪大道8号上海国金中心汇丰银行大楼9层，邮编200120，客服热线：400-666-0066。</w:t>
      </w:r>
      <w:bookmarkStart w:id="72" w:name="ZJ_7_1_1_JS"/>
      <w:bookmarkEnd w:id="72"/>
    </w:p>
    <w:p w:rsidR="008B0422" w:rsidRDefault="008B0422">
      <w:pPr>
        <w:pStyle w:val="3"/>
        <w:spacing w:before="312"/>
        <w:ind w:left="0"/>
        <w:rPr>
          <w:rFonts w:hint="eastAsia"/>
        </w:rPr>
      </w:pPr>
      <w:bookmarkStart w:id="73" w:name="ZJ_7_1_2_KS"/>
      <w:bookmarkEnd w:id="73"/>
      <w:r>
        <w:rPr>
          <w:rFonts w:hint="eastAsia"/>
        </w:rPr>
        <w:t>非直销机构</w:t>
      </w:r>
    </w:p>
    <w:p w:rsidR="008B0422" w:rsidRDefault="008B0422">
      <w:pPr>
        <w:spacing w:line="360" w:lineRule="auto"/>
        <w:jc w:val="left"/>
        <w:rPr>
          <w:rFonts w:ascii="宋体" w:hAnsi="宋体" w:hint="eastAsia"/>
          <w:szCs w:val="21"/>
        </w:rPr>
      </w:pPr>
      <w:bookmarkStart w:id="74" w:name="WB_7_1_2_WB1"/>
      <w:bookmarkEnd w:id="74"/>
      <w:r>
        <w:rPr>
          <w:rFonts w:ascii="宋体" w:hAnsi="宋体" w:hint="eastAsia"/>
          <w:szCs w:val="21"/>
        </w:rPr>
        <w:t>  本基金的其他销售机构请详见基金管理人官网公示。</w:t>
      </w:r>
      <w:r>
        <w:rPr>
          <w:rFonts w:ascii="宋体" w:hAnsi="宋体" w:hint="eastAsia"/>
          <w:szCs w:val="21"/>
        </w:rPr>
        <w:br/>
        <w:t>  基金管理人可根据有关法律法规要求，根据实情，选择其他符合要求的机构销售本基金或变更上述销售机构，并在基金管理人网站公示。</w:t>
      </w:r>
      <w:bookmarkStart w:id="75" w:name="ZJ_7_1_2_JS"/>
      <w:bookmarkStart w:id="76" w:name="ZJ_7_1_JS"/>
      <w:bookmarkEnd w:id="75"/>
      <w:bookmarkEnd w:id="76"/>
    </w:p>
    <w:p w:rsidR="008B0422" w:rsidRDefault="008B0422">
      <w:pPr>
        <w:pStyle w:val="10"/>
        <w:spacing w:before="312"/>
        <w:ind w:left="0"/>
        <w:rPr>
          <w:rFonts w:hint="eastAsia"/>
          <w:szCs w:val="21"/>
        </w:rPr>
      </w:pPr>
      <w:bookmarkStart w:id="77" w:name="ZJ_8_KS"/>
      <w:bookmarkEnd w:id="77"/>
      <w:r>
        <w:rPr>
          <w:rFonts w:hint="eastAsia"/>
          <w:szCs w:val="21"/>
        </w:rPr>
        <w:t>基金份额净值公告</w:t>
      </w:r>
      <w:r>
        <w:rPr>
          <w:szCs w:val="21"/>
        </w:rPr>
        <w:t>/</w:t>
      </w:r>
      <w:r>
        <w:rPr>
          <w:rFonts w:hint="eastAsia"/>
          <w:szCs w:val="21"/>
        </w:rPr>
        <w:t>基金收益公告的披露安排</w:t>
      </w:r>
    </w:p>
    <w:p w:rsidR="008B0422" w:rsidRDefault="008B0422">
      <w:pPr>
        <w:spacing w:line="360" w:lineRule="auto"/>
        <w:jc w:val="left"/>
        <w:rPr>
          <w:rFonts w:ascii="宋体" w:hAnsi="宋体"/>
          <w:szCs w:val="21"/>
        </w:rPr>
      </w:pPr>
      <w:bookmarkStart w:id="78" w:name="WB_8_WB1"/>
      <w:bookmarkEnd w:id="78"/>
      <w:r>
        <w:rPr>
          <w:rFonts w:ascii="宋体" w:hAnsi="宋体" w:hint="eastAsia"/>
          <w:szCs w:val="21"/>
        </w:rPr>
        <w:t>  在开始办理基金份额申购或者赎回后，基金管理人应当在不晚于每个开放日的次日，通过规定网站、基金销售机构网站或者营业网点披露开放日的各类基金份额净值和基金份额累计净值。</w:t>
      </w:r>
      <w:r>
        <w:rPr>
          <w:rFonts w:ascii="宋体" w:hAnsi="宋体" w:hint="eastAsia"/>
          <w:szCs w:val="21"/>
        </w:rPr>
        <w:br/>
        <w:t>  基金管理人应当在不晚于半年度和年度最后一日的次日，在规定网站披露半年度和年度最后一日的各类基金份额净值和基金份额累计净值。</w:t>
      </w:r>
      <w:bookmarkStart w:id="79" w:name="ZJ_8_JS"/>
      <w:bookmarkEnd w:id="79"/>
    </w:p>
    <w:p w:rsidR="008B0422" w:rsidRDefault="008B0422">
      <w:pPr>
        <w:pStyle w:val="10"/>
        <w:spacing w:before="312"/>
        <w:ind w:left="0"/>
        <w:rPr>
          <w:rFonts w:hint="eastAsia"/>
          <w:szCs w:val="21"/>
        </w:rPr>
      </w:pPr>
      <w:bookmarkStart w:id="80" w:name="ZJ_9_KS"/>
      <w:bookmarkEnd w:id="80"/>
      <w:r>
        <w:rPr>
          <w:rFonts w:hint="eastAsia"/>
          <w:szCs w:val="21"/>
        </w:rPr>
        <w:t>其他需要提示的事项</w:t>
      </w:r>
    </w:p>
    <w:p w:rsidR="008B0422" w:rsidRDefault="008B0422">
      <w:pPr>
        <w:spacing w:line="360" w:lineRule="auto"/>
        <w:jc w:val="left"/>
        <w:rPr>
          <w:rFonts w:ascii="宋体" w:hAnsi="宋体"/>
          <w:szCs w:val="21"/>
        </w:rPr>
      </w:pPr>
      <w:bookmarkStart w:id="81" w:name="WB_9_WB1"/>
      <w:bookmarkEnd w:id="81"/>
      <w:r>
        <w:rPr>
          <w:rFonts w:ascii="宋体" w:hAnsi="宋体" w:hint="eastAsia"/>
          <w:szCs w:val="21"/>
        </w:rPr>
        <w:t>  1、基金管理人可以在基金合同约定的范围内调整费率或收费方式，并最迟应于新的费率或收费方式实施日前依照《公开募集证券投资基金信息披露管理办法》的有关规定在规定媒介上公告。</w:t>
      </w:r>
      <w:r>
        <w:rPr>
          <w:rFonts w:ascii="宋体" w:hAnsi="宋体" w:hint="eastAsia"/>
          <w:szCs w:val="21"/>
        </w:rPr>
        <w:br/>
        <w:t>  2、当本基金发生大额申购或赎回情形时，基金管理人可以采用摆动定价机制，以确保基金估值的公平性。具体处理原则与操作规范遵循相关法律法规以及监管部门、自律规则的规定。</w:t>
      </w:r>
      <w:r>
        <w:rPr>
          <w:rFonts w:ascii="宋体" w:hAnsi="宋体" w:hint="eastAsia"/>
          <w:szCs w:val="21"/>
        </w:rPr>
        <w:br/>
        <w:t>  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赎回费率和销售服务费率。</w:t>
      </w:r>
      <w:r>
        <w:rPr>
          <w:rFonts w:ascii="宋体" w:hAnsi="宋体" w:hint="eastAsia"/>
          <w:szCs w:val="21"/>
        </w:rPr>
        <w:br/>
        <w:t>  4、有关本基金开放申购、赎回、转换、定期定额投资业务的具体规定若有变化,本公司将另行公告。</w:t>
      </w:r>
      <w:r>
        <w:rPr>
          <w:rFonts w:ascii="宋体" w:hAnsi="宋体" w:hint="eastAsia"/>
          <w:szCs w:val="21"/>
        </w:rPr>
        <w:br/>
        <w:t>  5、本公告仅对本基金的开放申购、赎回、转换、定期定额投资业务的有关事项予以说明。投资者欲了解本基金的详细情况,可通过本公司网站或销售机构查阅《中信保诚国企红利量化选股股票型证券投资基金基金合同》和《中信保诚国企红利量化选股股票型证券投资基金招募说明书》等相关资料，投资者亦可致电中信保诚基金管理有限公司客户服务电话400-666-0066,或登录本公司网站www.citicprufunds.com.cn进行查询。</w:t>
      </w:r>
      <w:r>
        <w:rPr>
          <w:rFonts w:ascii="宋体" w:hAnsi="宋体" w:hint="eastAsia"/>
          <w:szCs w:val="21"/>
        </w:rPr>
        <w:br/>
        <w:t>  6、基金管理人承诺依照恪尽职守、诚实信用、谨慎勤勉的原则管理和运用基金资产，但不保证本基金一定盈利，也不保证最低收益和本金安全。本基金的过往业绩及其净值高低并不预示其未来业绩表现，基金管理人管理的其他基金的业绩也不构成对本基金业绩表现的保证。基金管理人提醒投资人基金投资的“买者自负”原则，在做出投资决策后，基金运营状况与基金净值变化引致的投资风险，由投资人自行负担。投资人应当认真阅读基金合同、招募说明书、基金产品资料概要等基金信息披露文件，了解本基金的风险收益特征，并根据自身的投资目的、投资期限、投资经验、资产状况等判断基金是否和投资人的风险承受能力相适应，自主判断基金的投资价值，自主做出投资决策，自行承担投资风险。</w:t>
      </w:r>
      <w:r>
        <w:rPr>
          <w:rFonts w:ascii="宋体" w:hAnsi="宋体" w:hint="eastAsia"/>
          <w:szCs w:val="21"/>
        </w:rPr>
        <w:br/>
      </w:r>
      <w:r>
        <w:rPr>
          <w:rFonts w:ascii="宋体" w:hAnsi="宋体" w:hint="eastAsia"/>
          <w:szCs w:val="21"/>
        </w:rPr>
        <w:br/>
        <w:t>  特此公告。</w:t>
      </w:r>
      <w:r>
        <w:rPr>
          <w:rFonts w:ascii="宋体" w:hAnsi="宋体" w:hint="eastAsia"/>
          <w:szCs w:val="21"/>
        </w:rPr>
        <w:br/>
      </w:r>
      <w:r>
        <w:rPr>
          <w:rFonts w:ascii="宋体" w:hAnsi="宋体" w:hint="eastAsia"/>
          <w:szCs w:val="21"/>
        </w:rPr>
        <w:br/>
        <w:t>                         中信保诚基金管理有限公司</w:t>
      </w:r>
      <w:r>
        <w:rPr>
          <w:rFonts w:ascii="宋体" w:hAnsi="宋体" w:hint="eastAsia"/>
          <w:szCs w:val="21"/>
        </w:rPr>
        <w:br/>
        <w:t>                         2024年05月30日</w:t>
      </w:r>
      <w:bookmarkStart w:id="82" w:name="ZJ_9_JS"/>
      <w:bookmarkEnd w:id="82"/>
    </w:p>
    <w:sectPr w:rsidR="008B042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22" w:rsidRDefault="008B0422">
      <w:r>
        <w:separator/>
      </w:r>
    </w:p>
  </w:endnote>
  <w:endnote w:type="continuationSeparator" w:id="0">
    <w:p w:rsidR="008B0422" w:rsidRDefault="008B0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22" w:rsidRPr="00C515EA" w:rsidRDefault="008B0422">
    <w:pPr>
      <w:pStyle w:val="a7"/>
      <w:jc w:val="center"/>
      <w:rPr>
        <w:rFonts w:hint="eastAsia"/>
      </w:rPr>
    </w:pPr>
    <w:fldSimple w:instr="PAGE   \* MERGEFORMAT">
      <w:r w:rsidR="00C5176E" w:rsidRPr="00C5176E">
        <w:rPr>
          <w:noProof/>
          <w:lang w:val="zh-CN"/>
        </w:rPr>
        <w:t>1</w:t>
      </w:r>
    </w:fldSimple>
  </w:p>
  <w:p w:rsidR="008B0422" w:rsidRDefault="008B04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22" w:rsidRDefault="008B0422">
      <w:r>
        <w:separator/>
      </w:r>
    </w:p>
  </w:footnote>
  <w:footnote w:type="continuationSeparator" w:id="0">
    <w:p w:rsidR="008B0422" w:rsidRDefault="008B0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22" w:rsidRDefault="008B0422">
    <w:pPr>
      <w:pStyle w:val="a5"/>
      <w:pBdr>
        <w:bottom w:val="single" w:sz="6" w:space="0" w:color="auto"/>
      </w:pBdr>
      <w:spacing w:line="240" w:lineRule="atLeast"/>
      <w:jc w:val="right"/>
      <w:rPr>
        <w:rFonts w:ascii="宋体" w:hAnsi="宋体"/>
      </w:rPr>
    </w:pPr>
    <w:r>
      <w:rPr>
        <w:rFonts w:ascii="宋体" w:hAnsi="宋体" w:hint="eastAsia"/>
      </w:rPr>
      <w:t>中信保诚国企红利量化选股股票型证券投资基金开放日常申购、赎回、转换、定期定额投资业务的公告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4033C"/>
    <w:multiLevelType w:val="multilevel"/>
    <w:tmpl w:val="6A7C7A4A"/>
    <w:lvl w:ilvl="0">
      <w:start w:val="1"/>
      <w:numFmt w:val="chineseCountingThousand"/>
      <w:pStyle w:val="CharCharCharCharCharCharCharCharChar"/>
      <w:suff w:val="space"/>
      <w:lvlText w:val="%1、"/>
      <w:lvlJc w:val="left"/>
      <w:pPr>
        <w:ind w:left="0" w:firstLine="0"/>
      </w:pPr>
    </w:lvl>
    <w:lvl w:ilvl="1">
      <w:start w:val="1"/>
      <w:numFmt w:val="chineseCountingThousand"/>
      <w:suff w:val="nothing"/>
      <w:lvlText w:val="%2、"/>
      <w:lvlJc w:val="left"/>
      <w:pPr>
        <w:ind w:left="0" w:firstLine="0"/>
      </w:pPr>
    </w:lvl>
    <w:lvl w:ilvl="2">
      <w:start w:val="1"/>
      <w:numFmt w:val="decimal"/>
      <w:suff w:val="space"/>
      <w:lvlText w:val="%3."/>
      <w:lvlJc w:val="left"/>
      <w:pPr>
        <w:ind w:left="0" w:firstLine="0"/>
      </w:pPr>
    </w:lvl>
    <w:lvl w:ilvl="3">
      <w:start w:val="1"/>
      <w:numFmt w:val="none"/>
      <w:suff w:val="nothing"/>
      <w:lvlText w:val=""/>
      <w:lvlJc w:val="left"/>
      <w:pPr>
        <w:ind w:left="851" w:firstLine="0"/>
      </w:pPr>
    </w:lvl>
    <w:lvl w:ilvl="4">
      <w:start w:val="1"/>
      <w:numFmt w:val="none"/>
      <w:suff w:val="nothing"/>
      <w:lvlText w:val=""/>
      <w:lvlJc w:val="left"/>
      <w:pPr>
        <w:ind w:left="851" w:firstLine="0"/>
      </w:p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nsid w:val="3EF343A9"/>
    <w:multiLevelType w:val="multilevel"/>
    <w:tmpl w:val="FF66A570"/>
    <w:styleLink w:val="1"/>
    <w:lvl w:ilvl="0">
      <w:start w:val="1"/>
      <w:numFmt w:val="decimal"/>
      <w:pStyle w:val="10"/>
      <w:lvlText w:val="%1"/>
      <w:lvlJc w:val="left"/>
      <w:pPr>
        <w:ind w:left="425" w:hanging="425"/>
      </w:pPr>
    </w:lvl>
    <w:lvl w:ilvl="1">
      <w:start w:val="1"/>
      <w:numFmt w:val="decimal"/>
      <w:pStyle w:val="2"/>
      <w:lvlText w:val="%1.%2"/>
      <w:lvlJc w:val="left"/>
      <w:pPr>
        <w:ind w:left="709" w:hanging="567"/>
      </w:pPr>
    </w:lvl>
    <w:lvl w:ilvl="2">
      <w:start w:val="1"/>
      <w:numFmt w:val="decimal"/>
      <w:pStyle w:val="3"/>
      <w:lvlText w:val="%1.%2.%3"/>
      <w:lvlJc w:val="left"/>
      <w:pPr>
        <w:ind w:left="1418" w:hanging="567"/>
      </w:pPr>
      <w:rPr>
        <w:rFonts w:ascii="宋体" w:eastAsia="宋体" w:hAnsi="宋体" w:hint="eastAsia"/>
        <w:sz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1727B15"/>
    <w:multiLevelType w:val="multilevel"/>
    <w:tmpl w:val="7A52163A"/>
    <w:lvl w:ilvl="0">
      <w:start w:val="1"/>
      <w:numFmt w:val="decimal"/>
      <w:lvlText w:val="%1."/>
      <w:lvlJc w:val="left"/>
      <w:pPr>
        <w:snapToGrid w:val="0"/>
        <w:ind w:left="0" w:firstLine="288"/>
      </w:pPr>
      <w:rPr>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decimal"/>
      <w:suff w:val="space"/>
      <w:lvlText w:val="%1.%2"/>
      <w:lvlJc w:val="left"/>
      <w:pPr>
        <w:ind w:left="0" w:firstLine="0"/>
      </w:pPr>
      <w:rPr>
        <w:rFonts w:ascii="宋体" w:eastAsia="宋体" w:hAnsi="宋体" w:hint="eastAsia"/>
        <w:b/>
        <w:i w:val="0"/>
        <w:color w:val="auto"/>
        <w:sz w:val="21"/>
      </w:rPr>
    </w:lvl>
    <w:lvl w:ilvl="2">
      <w:start w:val="1"/>
      <w:numFmt w:val="decimal"/>
      <w:suff w:val="space"/>
      <w:lvlText w:val="%1.%2.%3"/>
      <w:lvlJc w:val="left"/>
      <w:pPr>
        <w:ind w:left="0" w:firstLine="0"/>
      </w:pPr>
      <w:rPr>
        <w:rFonts w:ascii="Times New Roman" w:eastAsia="宋体" w:hAnsi="Times New Roman" w:hint="eastAsia"/>
        <w:b/>
        <w:i w:val="0"/>
        <w:sz w:val="21"/>
      </w:rPr>
    </w:lvl>
    <w:lvl w:ilvl="3">
      <w:start w:val="1"/>
      <w:numFmt w:val="decimal"/>
      <w:pStyle w:val="4"/>
      <w:suff w:val="nothing"/>
      <w:lvlText w:val="%1.%2.%3.%4"/>
      <w:lvlJc w:val="left"/>
      <w:pPr>
        <w:ind w:left="0" w:firstLine="0"/>
      </w:pPr>
      <w:rPr>
        <w:rFonts w:ascii="Times New Roman" w:eastAsia="宋体" w:hAnsi="Times New Roman" w:hint="eastAsia"/>
        <w:b/>
        <w:i w:val="0"/>
        <w:sz w:val="24"/>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1"/>
    <w:lvlOverride w:ilvl="0">
      <w:lvl w:ilvl="0">
        <w:start w:val="1"/>
        <w:numFmt w:val="decimal"/>
        <w:pStyle w:val="10"/>
        <w:lvlText w:val="%1"/>
        <w:lvlJc w:val="left"/>
        <w:pPr>
          <w:ind w:left="425" w:hanging="425"/>
        </w:pPr>
        <w:rPr>
          <w:rFonts w:ascii="宋体" w:eastAsia="宋体" w:hAnsi="宋体" w:hint="eastAsia"/>
        </w:rPr>
      </w:lvl>
    </w:lvlOverride>
    <w:lvlOverride w:ilvl="1">
      <w:lvl w:ilvl="1">
        <w:start w:val="1"/>
        <w:numFmt w:val="decimal"/>
        <w:pStyle w:val="2"/>
        <w:lvlText w:val="%1.%2"/>
        <w:lvlJc w:val="left"/>
        <w:pPr>
          <w:ind w:left="709" w:hanging="567"/>
        </w:pPr>
        <w:rPr>
          <w:rFonts w:ascii="宋体" w:eastAsia="宋体" w:hAnsi="宋体" w:hint="eastAsia"/>
        </w:rPr>
      </w:lvl>
    </w:lvlOverride>
    <w:lvlOverride w:ilvl="2">
      <w:lvl w:ilvl="2">
        <w:start w:val="1"/>
        <w:numFmt w:val="decimal"/>
        <w:pStyle w:val="3"/>
        <w:lvlText w:val="%1.%2.%3"/>
        <w:lvlJc w:val="left"/>
        <w:pPr>
          <w:ind w:left="1418" w:hanging="567"/>
        </w:pPr>
        <w:rPr>
          <w:rFonts w:ascii="宋体" w:eastAsia="宋体" w:hAnsi="宋体" w:hint="eastAsia"/>
          <w:sz w:val="21"/>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5EA"/>
    <w:rsid w:val="007256E9"/>
    <w:rsid w:val="008B0422"/>
    <w:rsid w:val="00C515EA"/>
    <w:rsid w:val="00C517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0">
    <w:name w:val="heading 1"/>
    <w:basedOn w:val="a"/>
    <w:next w:val="a"/>
    <w:link w:val="11"/>
    <w:uiPriority w:val="9"/>
    <w:qFormat/>
    <w:pPr>
      <w:keepNext/>
      <w:keepLines/>
      <w:numPr>
        <w:numId w:val="2"/>
      </w:numPr>
      <w:spacing w:beforeLines="100"/>
      <w:ind w:firstLine="0"/>
      <w:outlineLvl w:val="0"/>
    </w:pPr>
    <w:rPr>
      <w:b/>
      <w:bCs/>
      <w:kern w:val="44"/>
      <w:szCs w:val="44"/>
    </w:rPr>
  </w:style>
  <w:style w:type="paragraph" w:styleId="2">
    <w:name w:val="heading 2"/>
    <w:basedOn w:val="a"/>
    <w:next w:val="a"/>
    <w:link w:val="21"/>
    <w:semiHidden/>
    <w:unhideWhenUsed/>
    <w:qFormat/>
    <w:pPr>
      <w:widowControl/>
      <w:numPr>
        <w:ilvl w:val="1"/>
        <w:numId w:val="2"/>
      </w:numPr>
      <w:spacing w:beforeLines="100"/>
      <w:ind w:firstLine="0"/>
      <w:jc w:val="left"/>
      <w:outlineLvl w:val="1"/>
    </w:pPr>
    <w:rPr>
      <w:rFonts w:ascii="Arial" w:hAnsi="Arial"/>
      <w:b/>
    </w:rPr>
  </w:style>
  <w:style w:type="paragraph" w:styleId="3">
    <w:name w:val="heading 3"/>
    <w:basedOn w:val="2"/>
    <w:next w:val="a"/>
    <w:link w:val="31"/>
    <w:uiPriority w:val="9"/>
    <w:semiHidden/>
    <w:unhideWhenUsed/>
    <w:qFormat/>
    <w:pPr>
      <w:numPr>
        <w:ilvl w:val="2"/>
      </w:numPr>
      <w:ind w:firstLine="0"/>
      <w:outlineLvl w:val="2"/>
    </w:pPr>
    <w:rPr>
      <w:rFonts w:ascii="宋体" w:hAnsi="宋体"/>
      <w:bCs/>
      <w:kern w:val="0"/>
      <w:lang w:eastAsia="en-US" w:bidi="en-US"/>
    </w:rPr>
  </w:style>
  <w:style w:type="paragraph" w:styleId="4">
    <w:name w:val="heading 4"/>
    <w:basedOn w:val="a"/>
    <w:next w:val="a"/>
    <w:link w:val="41"/>
    <w:uiPriority w:val="9"/>
    <w:semiHidden/>
    <w:unhideWhenUsed/>
    <w:qFormat/>
    <w:pPr>
      <w:widowControl/>
      <w:numPr>
        <w:ilvl w:val="3"/>
        <w:numId w:val="4"/>
      </w:numPr>
      <w:jc w:val="left"/>
      <w:outlineLvl w:val="3"/>
    </w:pPr>
    <w:rPr>
      <w:rFonts w:ascii="宋体" w:hAnsi="Cambria"/>
      <w:b/>
      <w:bCs/>
      <w:iCs/>
      <w:kern w:val="0"/>
      <w:lang w:eastAsia="en-US" w:bidi="en-US"/>
    </w:rPr>
  </w:style>
  <w:style w:type="paragraph" w:styleId="7">
    <w:name w:val="heading 7"/>
    <w:basedOn w:val="a"/>
    <w:next w:val="a"/>
    <w:link w:val="71"/>
    <w:uiPriority w:val="9"/>
    <w:semiHidden/>
    <w:unhideWhenUsed/>
    <w:qFormat/>
    <w:pPr>
      <w:keepNext/>
      <w:keepLines/>
      <w:spacing w:before="240" w:after="64" w:line="319"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标题 1 字符"/>
    <w:link w:val="10"/>
    <w:uiPriority w:val="9"/>
    <w:rPr>
      <w:rFonts w:eastAsia="宋体" w:cs="Times New Roman"/>
      <w:b/>
      <w:bCs/>
      <w:kern w:val="44"/>
      <w:sz w:val="44"/>
      <w:szCs w:val="44"/>
    </w:rPr>
  </w:style>
  <w:style w:type="character" w:customStyle="1" w:styleId="20">
    <w:name w:val="标题 2 字符"/>
    <w:link w:val="2"/>
    <w:semiHidden/>
    <w:rPr>
      <w:rFonts w:ascii="Cambria" w:eastAsia="宋体" w:hAnsi="Cambria" w:cs="Times New Roman"/>
      <w:b/>
      <w:bCs/>
      <w:kern w:val="2"/>
      <w:sz w:val="32"/>
      <w:szCs w:val="32"/>
    </w:rPr>
  </w:style>
  <w:style w:type="character" w:customStyle="1" w:styleId="30">
    <w:name w:val="标题 3 字符"/>
    <w:link w:val="3"/>
    <w:uiPriority w:val="9"/>
    <w:semiHidden/>
    <w:rPr>
      <w:rFonts w:eastAsia="宋体"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character" w:customStyle="1" w:styleId="70">
    <w:name w:val="标题 7 字符"/>
    <w:link w:val="7"/>
    <w:uiPriority w:val="9"/>
    <w:semiHidden/>
    <w:rPr>
      <w:rFonts w:eastAsia="宋体" w:cs="Times New Roman"/>
      <w:b/>
      <w:bCs/>
      <w:kern w:val="2"/>
      <w:sz w:val="24"/>
      <w:szCs w:val="24"/>
    </w:rPr>
  </w:style>
  <w:style w:type="paragraph" w:styleId="a3">
    <w:name w:val="footnote text"/>
    <w:basedOn w:val="a"/>
    <w:link w:val="13"/>
    <w:semiHidden/>
    <w:unhideWhenUsed/>
    <w:pPr>
      <w:snapToGrid w:val="0"/>
      <w:jc w:val="left"/>
    </w:pPr>
    <w:rPr>
      <w:rFonts w:ascii="Times New Roman" w:hAnsi="Times New Roman"/>
      <w:sz w:val="18"/>
      <w:szCs w:val="20"/>
    </w:rPr>
  </w:style>
  <w:style w:type="character" w:customStyle="1" w:styleId="a4">
    <w:name w:val="脚注文本 字符"/>
    <w:link w:val="a3"/>
    <w:semiHidden/>
    <w:rPr>
      <w:rFonts w:eastAsia="宋体" w:cs="Times New Roman"/>
      <w:kern w:val="2"/>
      <w:sz w:val="18"/>
      <w:szCs w:val="18"/>
    </w:rPr>
  </w:style>
  <w:style w:type="paragraph" w:styleId="a5">
    <w:name w:val="header"/>
    <w:basedOn w:val="a"/>
    <w:link w:val="1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rPr>
      <w:rFonts w:eastAsia="宋体" w:cs="Times New Roman"/>
      <w:kern w:val="2"/>
      <w:sz w:val="18"/>
      <w:szCs w:val="18"/>
    </w:rPr>
  </w:style>
  <w:style w:type="paragraph" w:styleId="a7">
    <w:name w:val="footer"/>
    <w:basedOn w:val="a"/>
    <w:link w:val="15"/>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semiHidden/>
    <w:rPr>
      <w:rFonts w:eastAsia="宋体" w:cs="Times New Roman"/>
      <w:kern w:val="2"/>
      <w:sz w:val="18"/>
      <w:szCs w:val="18"/>
    </w:rPr>
  </w:style>
  <w:style w:type="paragraph" w:styleId="a9">
    <w:name w:val="Balloon Text"/>
    <w:basedOn w:val="a"/>
    <w:link w:val="16"/>
    <w:uiPriority w:val="99"/>
    <w:semiHidden/>
    <w:unhideWhenUsed/>
    <w:rPr>
      <w:sz w:val="18"/>
      <w:szCs w:val="18"/>
    </w:rPr>
  </w:style>
  <w:style w:type="character" w:customStyle="1" w:styleId="aa">
    <w:name w:val="批注框文本 字符"/>
    <w:link w:val="a9"/>
    <w:uiPriority w:val="99"/>
    <w:semiHidden/>
    <w:rPr>
      <w:rFonts w:eastAsia="宋体" w:cs="Times New Roman"/>
      <w:kern w:val="2"/>
      <w:sz w:val="18"/>
      <w:szCs w:val="18"/>
    </w:rPr>
  </w:style>
  <w:style w:type="paragraph" w:styleId="ab">
    <w:name w:val="List Paragraph"/>
    <w:basedOn w:val="a"/>
    <w:uiPriority w:val="34"/>
    <w:qFormat/>
    <w:pPr>
      <w:spacing w:line="240" w:lineRule="atLeast"/>
      <w:ind w:firstLineChars="200" w:firstLine="420"/>
    </w:pPr>
    <w:rPr>
      <w:rFonts w:ascii="Times New Roman" w:hAnsi="Times New Roman"/>
      <w:sz w:val="24"/>
      <w:szCs w:val="20"/>
    </w:rPr>
  </w:style>
  <w:style w:type="paragraph" w:customStyle="1" w:styleId="CharCharCharCharCharCharCharCharChar">
    <w:name w:val="Char Char Char Char Char Char Char Char Char"/>
    <w:basedOn w:val="a"/>
    <w:pPr>
      <w:numPr>
        <w:numId w:val="6"/>
      </w:numPr>
      <w:tabs>
        <w:tab w:val="left" w:pos="1320"/>
      </w:tabs>
      <w:spacing w:line="240" w:lineRule="atLeast"/>
    </w:pPr>
    <w:rPr>
      <w:rFonts w:ascii="Times New Roman" w:hAnsi="Times New Roman"/>
      <w:sz w:val="24"/>
      <w:szCs w:val="20"/>
    </w:rPr>
  </w:style>
  <w:style w:type="paragraph" w:customStyle="1" w:styleId="CharCharCharCharCharChar1CharCharChar">
    <w:name w:val="Char Char Char Char Char Char1 Char Char Char"/>
    <w:basedOn w:val="a"/>
    <w:pPr>
      <w:autoSpaceDE w:val="0"/>
      <w:autoSpaceDN w:val="0"/>
      <w:adjustRightInd w:val="0"/>
      <w:jc w:val="left"/>
    </w:pPr>
    <w:rPr>
      <w:rFonts w:ascii="宋体" w:hAnsi="Times New Roman"/>
      <w:kern w:val="0"/>
      <w:sz w:val="34"/>
      <w:szCs w:val="20"/>
    </w:rPr>
  </w:style>
  <w:style w:type="character" w:styleId="ac">
    <w:name w:val="footnote reference"/>
    <w:semiHidden/>
    <w:unhideWhenUsed/>
    <w:rPr>
      <w:vertAlign w:val="superscript"/>
    </w:rPr>
  </w:style>
  <w:style w:type="character" w:customStyle="1" w:styleId="14">
    <w:name w:val="页眉 字符1"/>
    <w:link w:val="a5"/>
    <w:uiPriority w:val="99"/>
    <w:locked/>
    <w:rPr>
      <w:sz w:val="18"/>
      <w:szCs w:val="18"/>
    </w:rPr>
  </w:style>
  <w:style w:type="character" w:customStyle="1" w:styleId="15">
    <w:name w:val="页脚 字符1"/>
    <w:link w:val="a7"/>
    <w:uiPriority w:val="99"/>
    <w:locked/>
    <w:rPr>
      <w:sz w:val="18"/>
      <w:szCs w:val="18"/>
    </w:rPr>
  </w:style>
  <w:style w:type="character" w:customStyle="1" w:styleId="16">
    <w:name w:val="批注框文本 字符1"/>
    <w:link w:val="a9"/>
    <w:uiPriority w:val="99"/>
    <w:semiHidden/>
    <w:locked/>
    <w:rPr>
      <w:rFonts w:ascii="Calibri" w:eastAsia="宋体" w:hAnsi="Calibri" w:cs="Times New Roman" w:hint="default"/>
      <w:sz w:val="18"/>
      <w:szCs w:val="18"/>
    </w:rPr>
  </w:style>
  <w:style w:type="character" w:customStyle="1" w:styleId="11">
    <w:name w:val="标题 1 字符1"/>
    <w:link w:val="10"/>
    <w:uiPriority w:val="9"/>
    <w:locked/>
    <w:rPr>
      <w:rFonts w:ascii="Calibri" w:eastAsia="宋体" w:hAnsi="Calibri" w:cs="Times New Roman" w:hint="default"/>
      <w:b/>
      <w:bCs/>
      <w:kern w:val="44"/>
      <w:szCs w:val="44"/>
    </w:rPr>
  </w:style>
  <w:style w:type="character" w:customStyle="1" w:styleId="13">
    <w:name w:val="脚注文本 字符1"/>
    <w:link w:val="a3"/>
    <w:locked/>
    <w:rPr>
      <w:rFonts w:ascii="Times New Roman" w:eastAsia="宋体" w:hAnsi="Times New Roman" w:cs="Times New Roman" w:hint="default"/>
      <w:sz w:val="18"/>
      <w:szCs w:val="20"/>
    </w:rPr>
  </w:style>
  <w:style w:type="character" w:customStyle="1" w:styleId="71">
    <w:name w:val="标题 7 字符1"/>
    <w:link w:val="7"/>
    <w:locked/>
    <w:rPr>
      <w:rFonts w:ascii="Calibri" w:eastAsia="宋体" w:hAnsi="Calibri" w:cs="Times New Roman" w:hint="default"/>
      <w:b/>
      <w:bCs/>
      <w:sz w:val="24"/>
      <w:szCs w:val="24"/>
    </w:rPr>
  </w:style>
  <w:style w:type="character" w:customStyle="1" w:styleId="21">
    <w:name w:val="标题 2 字符1"/>
    <w:link w:val="2"/>
    <w:locked/>
    <w:rPr>
      <w:rFonts w:ascii="Arial" w:eastAsia="宋体" w:hAnsi="Arial" w:cs="Arial" w:hint="default"/>
      <w:b/>
      <w:bCs w:val="0"/>
    </w:rPr>
  </w:style>
  <w:style w:type="character" w:customStyle="1" w:styleId="31">
    <w:name w:val="标题 3 字符1"/>
    <w:link w:val="3"/>
    <w:uiPriority w:val="9"/>
    <w:locked/>
    <w:rPr>
      <w:rFonts w:ascii="宋体" w:eastAsia="宋体" w:hAnsi="宋体" w:cs="Times New Roman" w:hint="eastAsia"/>
      <w:b/>
      <w:bCs/>
      <w:kern w:val="0"/>
      <w:lang w:eastAsia="en-US" w:bidi="en-US"/>
    </w:rPr>
  </w:style>
  <w:style w:type="character" w:customStyle="1" w:styleId="41">
    <w:name w:val="标题 4 字符1"/>
    <w:link w:val="4"/>
    <w:uiPriority w:val="9"/>
    <w:locked/>
    <w:rPr>
      <w:rFonts w:ascii="宋体" w:eastAsia="宋体" w:hAnsi="Cambria" w:cs="Times New Roman" w:hint="eastAsia"/>
      <w:b/>
      <w:bCs/>
      <w:iCs/>
      <w:kern w:val="0"/>
      <w:lang w:eastAsia="en-US" w:bidi="en-US"/>
    </w:rPr>
  </w:style>
  <w:style w:type="table" w:styleId="ad">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样式1"/>
    <w:uiPriority w:val="99"/>
    <w:pPr>
      <w:numPr>
        <w:numId w:val="1"/>
      </w:numPr>
    </w:pPr>
  </w:style>
  <w:style w:type="character" w:customStyle="1" w:styleId="Char">
    <w:name w:val="页眉 Char"/>
    <w:uiPriority w:val="99"/>
    <w:locked/>
    <w:rPr>
      <w:sz w:val="18"/>
      <w:szCs w:val="18"/>
    </w:rPr>
  </w:style>
  <w:style w:type="character" w:customStyle="1" w:styleId="Char0">
    <w:name w:val="页脚 Char"/>
    <w:uiPriority w:val="99"/>
    <w:locked/>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49F7-5CCD-4BE7-8F11-4A53BBCD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Office Word</Application>
  <DocSecurity>4</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ZHONGM</cp:lastModifiedBy>
  <cp:revision>2</cp:revision>
  <dcterms:created xsi:type="dcterms:W3CDTF">2024-05-29T16:01:00Z</dcterms:created>
  <dcterms:modified xsi:type="dcterms:W3CDTF">2024-05-29T16:01:00Z</dcterms:modified>
</cp:coreProperties>
</file>