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6C" w:rsidRDefault="005F7023">
      <w:pPr>
        <w:jc w:val="center"/>
        <w:rPr>
          <w:b/>
          <w:bCs/>
          <w:sz w:val="30"/>
          <w:szCs w:val="30"/>
        </w:rPr>
      </w:pPr>
      <w:r>
        <w:rPr>
          <w:rFonts w:hint="eastAsia"/>
          <w:b/>
          <w:bCs/>
          <w:sz w:val="30"/>
          <w:szCs w:val="30"/>
        </w:rPr>
        <w:t>中邮创业基金管理股份有限公司</w:t>
      </w:r>
    </w:p>
    <w:p w:rsidR="00ED586C" w:rsidRDefault="005F7023">
      <w:pPr>
        <w:jc w:val="center"/>
        <w:rPr>
          <w:b/>
          <w:bCs/>
          <w:sz w:val="30"/>
          <w:szCs w:val="30"/>
        </w:rPr>
      </w:pPr>
      <w:r>
        <w:rPr>
          <w:rFonts w:hint="eastAsia"/>
          <w:b/>
          <w:bCs/>
          <w:sz w:val="30"/>
          <w:szCs w:val="30"/>
        </w:rPr>
        <w:t>关于旗下部分基金在东兴证券股份有限公司开通定投业务并调整其</w:t>
      </w:r>
      <w:bookmarkStart w:id="0" w:name="_Hlk82777530"/>
      <w:r>
        <w:rPr>
          <w:rFonts w:hint="eastAsia"/>
          <w:b/>
          <w:bCs/>
          <w:sz w:val="30"/>
          <w:szCs w:val="30"/>
        </w:rPr>
        <w:t>申购及定投起点金额、最低赎回份额、最低持有份额的</w:t>
      </w:r>
      <w:bookmarkEnd w:id="0"/>
      <w:r>
        <w:rPr>
          <w:rFonts w:hint="eastAsia"/>
          <w:b/>
          <w:bCs/>
          <w:sz w:val="30"/>
          <w:szCs w:val="30"/>
        </w:rPr>
        <w:t>公告</w:t>
      </w:r>
    </w:p>
    <w:p w:rsidR="00ED586C" w:rsidRDefault="00ED586C">
      <w:pPr>
        <w:spacing w:line="360" w:lineRule="auto"/>
        <w:jc w:val="center"/>
        <w:rPr>
          <w:rFonts w:ascii="宋体" w:eastAsia="宋体" w:hAnsi="宋体" w:cs="宋体"/>
          <w:szCs w:val="21"/>
        </w:rPr>
      </w:pPr>
    </w:p>
    <w:p w:rsidR="00ED586C" w:rsidRDefault="005F7023">
      <w:pPr>
        <w:spacing w:line="360" w:lineRule="auto"/>
        <w:ind w:firstLineChars="200" w:firstLine="480"/>
        <w:rPr>
          <w:rFonts w:ascii="宋体" w:eastAsia="宋体" w:hAnsi="宋体" w:cs="宋体"/>
          <w:szCs w:val="21"/>
        </w:rPr>
      </w:pPr>
      <w:r>
        <w:rPr>
          <w:rFonts w:ascii="宋体" w:eastAsia="宋体" w:hAnsi="宋体" w:cs="宋体" w:hint="eastAsia"/>
          <w:sz w:val="24"/>
        </w:rPr>
        <w:t>为更好地满足广大投资者的理财需求，中邮创业基金管理股份有限公司（以下简称“本公司”）与东兴证券股份有限公司（以下简称“东兴证券”）协商一致，自</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29</w:t>
      </w:r>
      <w:r>
        <w:rPr>
          <w:rFonts w:ascii="宋体" w:eastAsia="宋体" w:hAnsi="宋体" w:cs="宋体" w:hint="eastAsia"/>
          <w:sz w:val="24"/>
        </w:rPr>
        <w:t>日起，本公司旗下部分基金在东兴证券开通基金定投业务并调整申购及定投起点金额、最低赎回份额、最低持有份额。现将有关事项公告如下：</w:t>
      </w:r>
    </w:p>
    <w:p w:rsidR="00ED586C" w:rsidRDefault="005F7023">
      <w:pPr>
        <w:numPr>
          <w:ilvl w:val="0"/>
          <w:numId w:val="1"/>
        </w:numPr>
        <w:spacing w:line="360" w:lineRule="auto"/>
        <w:ind w:firstLineChars="200" w:firstLine="482"/>
        <w:rPr>
          <w:rFonts w:ascii="宋体" w:eastAsia="宋体" w:hAnsi="宋体" w:cs="宋体"/>
          <w:b/>
          <w:bCs/>
          <w:sz w:val="24"/>
        </w:rPr>
      </w:pPr>
      <w:r>
        <w:rPr>
          <w:rFonts w:ascii="宋体" w:hAnsi="宋体" w:cs="宋体" w:hint="eastAsia"/>
          <w:b/>
          <w:bCs/>
          <w:color w:val="000000"/>
          <w:sz w:val="24"/>
        </w:rPr>
        <w:t>适用基金及业务范围</w:t>
      </w:r>
    </w:p>
    <w:p w:rsidR="00ED586C" w:rsidRDefault="005F7023">
      <w:pPr>
        <w:pStyle w:val="a8"/>
        <w:numPr>
          <w:ilvl w:val="0"/>
          <w:numId w:val="2"/>
        </w:numPr>
        <w:spacing w:line="360" w:lineRule="auto"/>
        <w:ind w:firstLineChars="0"/>
        <w:rPr>
          <w:rFonts w:ascii="宋体" w:hAnsi="宋体" w:cs="宋体"/>
          <w:color w:val="000000"/>
          <w:sz w:val="24"/>
        </w:rPr>
      </w:pPr>
      <w:r>
        <w:rPr>
          <w:rFonts w:ascii="宋体" w:hAnsi="宋体" w:cs="宋体" w:hint="eastAsia"/>
          <w:color w:val="000000"/>
          <w:sz w:val="24"/>
        </w:rPr>
        <w:t>开通定投业务的基金如下：</w:t>
      </w:r>
    </w:p>
    <w:tbl>
      <w:tblPr>
        <w:tblStyle w:val="a6"/>
        <w:tblW w:w="5000" w:type="pct"/>
        <w:jc w:val="center"/>
        <w:tblLook w:val="04A0"/>
      </w:tblPr>
      <w:tblGrid>
        <w:gridCol w:w="7474"/>
        <w:gridCol w:w="2040"/>
      </w:tblGrid>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sz w:val="24"/>
              </w:rPr>
            </w:pPr>
            <w:r>
              <w:rPr>
                <w:rFonts w:ascii="宋体" w:eastAsia="宋体" w:hAnsi="宋体" w:cs="宋体" w:hint="eastAsia"/>
                <w:kern w:val="0"/>
                <w:sz w:val="24"/>
              </w:rPr>
              <w:t>基金名称</w:t>
            </w:r>
          </w:p>
        </w:tc>
        <w:tc>
          <w:tcPr>
            <w:tcW w:w="1072" w:type="pct"/>
            <w:vAlign w:val="center"/>
          </w:tcPr>
          <w:p w:rsidR="00ED586C" w:rsidRDefault="005F7023">
            <w:pPr>
              <w:widowControl/>
              <w:spacing w:line="360" w:lineRule="auto"/>
              <w:jc w:val="center"/>
              <w:rPr>
                <w:rFonts w:ascii="宋体" w:eastAsia="宋体" w:hAnsi="宋体" w:cs="宋体"/>
                <w:sz w:val="24"/>
              </w:rPr>
            </w:pPr>
            <w:r>
              <w:rPr>
                <w:rFonts w:ascii="宋体" w:eastAsia="宋体" w:hAnsi="宋体" w:cs="宋体" w:hint="eastAsia"/>
                <w:kern w:val="0"/>
                <w:sz w:val="24"/>
              </w:rPr>
              <w:t>基金代码</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中邮核心竞争力灵活配置混合型证券投资基金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000545</w:t>
            </w:r>
          </w:p>
        </w:tc>
      </w:tr>
      <w:tr w:rsidR="00ED586C">
        <w:trPr>
          <w:trHeight w:val="465"/>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中邮货币市场基金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000576 </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中邮多策略灵活配置混合型证券投资基金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000706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中邮核心科技创新灵活配置混合型证券投资基金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000966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中邮新思路灵活配置混合型证券投资基金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001224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中邮趋势精选灵活配置混合型证券投资基金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001225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中邮信息产业灵活配置混合型证券投资基金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001227</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中邮创新优势灵活配置混合型证券投资基金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001275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sz w:val="24"/>
              </w:rPr>
            </w:pPr>
            <w:r>
              <w:rPr>
                <w:rFonts w:ascii="宋体" w:eastAsia="宋体" w:hAnsi="宋体" w:hint="eastAsia"/>
                <w:sz w:val="24"/>
              </w:rPr>
              <w:t>中邮风格轮动灵活配置混合型证券投资基金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001479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中邮低碳经济灵活配置混合型证券投资基金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001983</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中邮医药健康灵活配置混合型证券投资基金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003284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中邮消费升级灵活配置混合型发起式证券投资基金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003513</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中邮军民融合灵活配置混合型证券投资基金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004139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中邮沪港深精选混合型证券投资基金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006477</w:t>
            </w:r>
          </w:p>
        </w:tc>
      </w:tr>
    </w:tbl>
    <w:p w:rsidR="00ED586C" w:rsidRDefault="005F7023">
      <w:pPr>
        <w:pStyle w:val="a8"/>
        <w:numPr>
          <w:ilvl w:val="0"/>
          <w:numId w:val="2"/>
        </w:numPr>
        <w:spacing w:line="360" w:lineRule="auto"/>
        <w:ind w:firstLineChars="0"/>
        <w:rPr>
          <w:rFonts w:ascii="宋体" w:eastAsia="宋体" w:hAnsi="宋体" w:cs="宋体"/>
          <w:sz w:val="24"/>
        </w:rPr>
      </w:pPr>
      <w:r>
        <w:rPr>
          <w:rFonts w:ascii="宋体" w:eastAsia="宋体" w:hAnsi="宋体" w:cs="宋体" w:hint="eastAsia"/>
          <w:sz w:val="24"/>
        </w:rPr>
        <w:t>调整申购及追加起点金额的基金如下：</w:t>
      </w:r>
    </w:p>
    <w:tbl>
      <w:tblPr>
        <w:tblStyle w:val="a6"/>
        <w:tblW w:w="5000" w:type="pct"/>
        <w:jc w:val="center"/>
        <w:tblLook w:val="04A0"/>
      </w:tblPr>
      <w:tblGrid>
        <w:gridCol w:w="7474"/>
        <w:gridCol w:w="2040"/>
      </w:tblGrid>
      <w:tr w:rsidR="00ED586C">
        <w:trPr>
          <w:trHeight w:val="510"/>
          <w:jc w:val="center"/>
        </w:trPr>
        <w:tc>
          <w:tcPr>
            <w:tcW w:w="3928" w:type="pct"/>
            <w:vAlign w:val="center"/>
          </w:tcPr>
          <w:p w:rsidR="00ED586C" w:rsidRDefault="005F7023">
            <w:pPr>
              <w:pStyle w:val="a8"/>
              <w:widowControl/>
              <w:spacing w:line="360" w:lineRule="auto"/>
              <w:ind w:left="420" w:firstLineChars="0" w:firstLine="0"/>
              <w:jc w:val="center"/>
              <w:rPr>
                <w:rFonts w:ascii="宋体" w:eastAsia="宋体" w:hAnsi="宋体" w:cs="宋体"/>
                <w:sz w:val="24"/>
              </w:rPr>
            </w:pPr>
            <w:r>
              <w:rPr>
                <w:rFonts w:ascii="宋体" w:eastAsia="宋体" w:hAnsi="宋体" w:cs="宋体" w:hint="eastAsia"/>
                <w:kern w:val="0"/>
                <w:sz w:val="24"/>
              </w:rPr>
              <w:t>基金名称</w:t>
            </w:r>
          </w:p>
        </w:tc>
        <w:tc>
          <w:tcPr>
            <w:tcW w:w="1072" w:type="pct"/>
            <w:vAlign w:val="center"/>
          </w:tcPr>
          <w:p w:rsidR="00ED586C" w:rsidRDefault="005F7023">
            <w:pPr>
              <w:widowControl/>
              <w:spacing w:line="360" w:lineRule="auto"/>
              <w:jc w:val="center"/>
              <w:rPr>
                <w:rFonts w:ascii="宋体" w:eastAsia="宋体" w:hAnsi="宋体" w:cs="宋体"/>
                <w:sz w:val="24"/>
              </w:rPr>
            </w:pPr>
            <w:r>
              <w:rPr>
                <w:rFonts w:ascii="宋体" w:eastAsia="宋体" w:hAnsi="宋体" w:cs="宋体" w:hint="eastAsia"/>
                <w:kern w:val="0"/>
                <w:sz w:val="24"/>
              </w:rPr>
              <w:t>基金代码</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lastRenderedPageBreak/>
              <w:t>中邮定期开放债券型证券投资基金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000271 </w:t>
            </w:r>
          </w:p>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000272</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中邮核心竞争力灵活配置混合型证券投资基金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000545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中邮多策略灵活配置混合型证券投资基金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000706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中邮核心科技创新灵活配置混合型证券投资基金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000966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中邮新思路灵活配置混合型证券投资基金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001224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中邮趋势精选灵活配置混合型证券投资基金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001225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中邮信息产业灵活配置混合型证券投资基金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001227</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中邮创新优势灵活配置混合型证券投资基金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001275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sz w:val="24"/>
              </w:rPr>
            </w:pPr>
            <w:r>
              <w:rPr>
                <w:rFonts w:ascii="宋体" w:eastAsia="宋体" w:hAnsi="宋体" w:hint="eastAsia"/>
                <w:sz w:val="24"/>
              </w:rPr>
              <w:t>中邮风格轮动灵活配置混合型证券投资基金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001479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中邮低碳经济灵活配置混合型证券投资基金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001983</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中邮睿信增强债券型证券投资基金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002474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中邮未来新蓝筹灵活配置混合型证券投资基金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002620</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中邮医药健康灵活配置混合型证券投资基金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003284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中邮消费升级灵活配置混合型发起式证券投资基金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003513</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中邮军民融合灵活配置混合型证券投资基金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004139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中邮沪港深精选混合型证券投资基金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006477</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中邮优享一年定期开放混合型证券投资基金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009201 </w:t>
            </w:r>
          </w:p>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009202</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中邮价值精选混合型证券投资基金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009488 </w:t>
            </w:r>
          </w:p>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009489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中邮纯债丰利债券型证券投资基金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010086 </w:t>
            </w:r>
          </w:p>
          <w:p w:rsidR="00ED586C" w:rsidRDefault="005F7023">
            <w:pPr>
              <w:widowControl/>
              <w:jc w:val="center"/>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010087</w:t>
            </w:r>
          </w:p>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E</w:t>
            </w:r>
            <w:r>
              <w:rPr>
                <w:rFonts w:ascii="宋体" w:eastAsia="宋体" w:hAnsi="宋体" w:hint="eastAsia"/>
                <w:color w:val="000000"/>
                <w:sz w:val="24"/>
              </w:rPr>
              <w:t>类：</w:t>
            </w:r>
            <w:r>
              <w:rPr>
                <w:rFonts w:ascii="宋体" w:eastAsia="宋体" w:hAnsi="宋体"/>
                <w:color w:val="000000"/>
                <w:sz w:val="24"/>
              </w:rPr>
              <w:t>019526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中邮稳定收益债券型证券投资基金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590009 </w:t>
            </w:r>
          </w:p>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590010</w:t>
            </w:r>
          </w:p>
        </w:tc>
      </w:tr>
    </w:tbl>
    <w:p w:rsidR="00ED586C" w:rsidRDefault="005F7023">
      <w:pPr>
        <w:spacing w:line="360" w:lineRule="auto"/>
        <w:ind w:firstLine="420"/>
        <w:rPr>
          <w:rFonts w:ascii="宋体" w:eastAsia="宋体" w:hAnsi="宋体" w:cs="宋体"/>
          <w:sz w:val="24"/>
        </w:rPr>
      </w:pPr>
      <w:r>
        <w:rPr>
          <w:rFonts w:ascii="宋体" w:eastAsia="宋体" w:hAnsi="宋体" w:cs="宋体" w:hint="eastAsia"/>
          <w:sz w:val="24"/>
        </w:rPr>
        <w:t>投资者通过东兴证券办理上述列表中对应基金的申购业务时，首次申购、追加申购起点金额调整为</w:t>
      </w:r>
      <w:r>
        <w:rPr>
          <w:rFonts w:ascii="宋体" w:eastAsia="宋体" w:hAnsi="宋体" w:cs="宋体" w:hint="eastAsia"/>
          <w:sz w:val="24"/>
        </w:rPr>
        <w:t>1</w:t>
      </w:r>
      <w:r>
        <w:rPr>
          <w:rFonts w:ascii="宋体" w:eastAsia="宋体" w:hAnsi="宋体" w:cs="宋体" w:hint="eastAsia"/>
          <w:sz w:val="24"/>
        </w:rPr>
        <w:t>元，具体以东兴证券公布信息为准。</w:t>
      </w:r>
    </w:p>
    <w:p w:rsidR="00ED586C" w:rsidRDefault="005F7023">
      <w:pPr>
        <w:pStyle w:val="a8"/>
        <w:numPr>
          <w:ilvl w:val="0"/>
          <w:numId w:val="2"/>
        </w:numPr>
        <w:spacing w:line="360" w:lineRule="auto"/>
        <w:ind w:firstLineChars="0"/>
        <w:rPr>
          <w:rFonts w:ascii="宋体" w:eastAsia="宋体" w:hAnsi="宋体" w:cs="宋体"/>
          <w:sz w:val="24"/>
        </w:rPr>
      </w:pPr>
      <w:r>
        <w:rPr>
          <w:rFonts w:ascii="宋体" w:eastAsia="宋体" w:hAnsi="宋体" w:cs="宋体" w:hint="eastAsia"/>
          <w:sz w:val="24"/>
        </w:rPr>
        <w:t>调整定投起点金额的基金如下：</w:t>
      </w:r>
    </w:p>
    <w:tbl>
      <w:tblPr>
        <w:tblStyle w:val="a6"/>
        <w:tblW w:w="5000" w:type="pct"/>
        <w:jc w:val="center"/>
        <w:tblLook w:val="04A0"/>
      </w:tblPr>
      <w:tblGrid>
        <w:gridCol w:w="7474"/>
        <w:gridCol w:w="2040"/>
      </w:tblGrid>
      <w:tr w:rsidR="00ED586C">
        <w:trPr>
          <w:trHeight w:val="510"/>
          <w:jc w:val="center"/>
        </w:trPr>
        <w:tc>
          <w:tcPr>
            <w:tcW w:w="3928" w:type="pct"/>
            <w:vAlign w:val="center"/>
          </w:tcPr>
          <w:p w:rsidR="00ED586C" w:rsidRDefault="005F7023">
            <w:pPr>
              <w:pStyle w:val="a8"/>
              <w:widowControl/>
              <w:spacing w:line="360" w:lineRule="auto"/>
              <w:ind w:left="420" w:firstLineChars="0" w:firstLine="0"/>
              <w:jc w:val="center"/>
              <w:rPr>
                <w:rFonts w:ascii="宋体" w:eastAsia="宋体" w:hAnsi="宋体" w:cs="宋体"/>
                <w:sz w:val="24"/>
              </w:rPr>
            </w:pPr>
            <w:r>
              <w:rPr>
                <w:rFonts w:ascii="宋体" w:eastAsia="宋体" w:hAnsi="宋体" w:cs="宋体" w:hint="eastAsia"/>
                <w:kern w:val="0"/>
                <w:sz w:val="24"/>
              </w:rPr>
              <w:t>基金名称</w:t>
            </w:r>
          </w:p>
        </w:tc>
        <w:tc>
          <w:tcPr>
            <w:tcW w:w="1072" w:type="pct"/>
            <w:vAlign w:val="center"/>
          </w:tcPr>
          <w:p w:rsidR="00ED586C" w:rsidRDefault="005F7023">
            <w:pPr>
              <w:widowControl/>
              <w:spacing w:line="360" w:lineRule="auto"/>
              <w:jc w:val="center"/>
              <w:rPr>
                <w:rFonts w:ascii="宋体" w:eastAsia="宋体" w:hAnsi="宋体" w:cs="宋体"/>
                <w:sz w:val="24"/>
              </w:rPr>
            </w:pPr>
            <w:r>
              <w:rPr>
                <w:rFonts w:ascii="宋体" w:eastAsia="宋体" w:hAnsi="宋体" w:cs="宋体" w:hint="eastAsia"/>
                <w:kern w:val="0"/>
                <w:sz w:val="24"/>
              </w:rPr>
              <w:t>基金代码</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中邮核心竞争力灵活配置混合型证券投资基金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000545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lastRenderedPageBreak/>
              <w:t>中邮多策略灵活配置混合型证券投资基金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000706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中邮核心科技创新灵活配置混合型证券投资基金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000966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中邮新思路灵活配置混合型证券投资基金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001224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中邮趋势精选灵活配置混合型证券投资基金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001225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中邮信息产业灵活配置混合型证券投资基金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001227</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中邮创新优势灵活配置混合型证券投资基金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001275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sz w:val="24"/>
              </w:rPr>
            </w:pPr>
            <w:r>
              <w:rPr>
                <w:rFonts w:ascii="宋体" w:eastAsia="宋体" w:hAnsi="宋体" w:hint="eastAsia"/>
                <w:sz w:val="24"/>
              </w:rPr>
              <w:t>中邮风格轮动灵活配置混合型证券投资基金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001479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中邮低碳经济灵活配置混合型证券投资基金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001983</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中邮睿信增强债券型证券投资基金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002474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中邮未来新蓝筹灵活配置混合型证券投资基金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002620</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中邮医药健康灵活配置混合型证券投资基金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003284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中邮消费升级灵活配置混合型发起式证券投资基金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003513</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中邮军民融合灵活配置混合型证券投资基金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004139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中邮沪港深精选混合型证券投资基金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006477</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中邮价值精选混合型证券投资基金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009488 </w:t>
            </w:r>
          </w:p>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009489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中邮纯债丰利债券型证券投资基金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010086 </w:t>
            </w:r>
          </w:p>
          <w:p w:rsidR="00ED586C" w:rsidRDefault="005F7023">
            <w:pPr>
              <w:widowControl/>
              <w:jc w:val="center"/>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010087</w:t>
            </w:r>
          </w:p>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E</w:t>
            </w:r>
            <w:r>
              <w:rPr>
                <w:rFonts w:ascii="宋体" w:eastAsia="宋体" w:hAnsi="宋体" w:hint="eastAsia"/>
                <w:color w:val="000000"/>
                <w:sz w:val="24"/>
              </w:rPr>
              <w:t>类：</w:t>
            </w:r>
            <w:r>
              <w:rPr>
                <w:rFonts w:ascii="宋体" w:eastAsia="宋体" w:hAnsi="宋体"/>
                <w:color w:val="000000"/>
                <w:sz w:val="24"/>
              </w:rPr>
              <w:t>019526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中邮稳定收益债券型证券投资基金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590009 </w:t>
            </w:r>
          </w:p>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590010</w:t>
            </w:r>
          </w:p>
        </w:tc>
      </w:tr>
    </w:tbl>
    <w:p w:rsidR="00ED586C" w:rsidRDefault="005F7023">
      <w:pPr>
        <w:spacing w:line="360" w:lineRule="auto"/>
        <w:ind w:firstLine="420"/>
        <w:rPr>
          <w:rFonts w:ascii="宋体" w:eastAsia="宋体" w:hAnsi="宋体" w:cs="宋体"/>
          <w:sz w:val="24"/>
        </w:rPr>
      </w:pPr>
      <w:r>
        <w:rPr>
          <w:rFonts w:ascii="宋体" w:eastAsia="宋体" w:hAnsi="宋体" w:cs="宋体" w:hint="eastAsia"/>
          <w:sz w:val="24"/>
        </w:rPr>
        <w:t>投资者通过东兴证券办理上述列表中对应基金的定投业务时，定投起点金额调整为</w:t>
      </w:r>
      <w:r>
        <w:rPr>
          <w:rFonts w:ascii="宋体" w:eastAsia="宋体" w:hAnsi="宋体" w:cs="宋体" w:hint="eastAsia"/>
          <w:sz w:val="24"/>
        </w:rPr>
        <w:t>1</w:t>
      </w:r>
      <w:r>
        <w:rPr>
          <w:rFonts w:ascii="宋体" w:eastAsia="宋体" w:hAnsi="宋体" w:cs="宋体" w:hint="eastAsia"/>
          <w:sz w:val="24"/>
        </w:rPr>
        <w:t>元，具体以东兴证券公布信息为准。</w:t>
      </w:r>
    </w:p>
    <w:p w:rsidR="00ED586C" w:rsidRDefault="005F7023">
      <w:pPr>
        <w:pStyle w:val="a8"/>
        <w:numPr>
          <w:ilvl w:val="0"/>
          <w:numId w:val="2"/>
        </w:numPr>
        <w:spacing w:line="360" w:lineRule="auto"/>
        <w:ind w:firstLineChars="0"/>
        <w:rPr>
          <w:rFonts w:ascii="宋体" w:eastAsia="宋体" w:hAnsi="宋体" w:cs="宋体"/>
          <w:sz w:val="24"/>
        </w:rPr>
      </w:pPr>
      <w:r>
        <w:rPr>
          <w:rFonts w:ascii="宋体" w:eastAsia="宋体" w:hAnsi="宋体" w:cs="宋体" w:hint="eastAsia"/>
          <w:sz w:val="24"/>
        </w:rPr>
        <w:t>调整最低赎回份额、最低持有份额的基金如下：</w:t>
      </w:r>
    </w:p>
    <w:tbl>
      <w:tblPr>
        <w:tblStyle w:val="a6"/>
        <w:tblW w:w="5000" w:type="pct"/>
        <w:jc w:val="center"/>
        <w:tblLook w:val="04A0"/>
      </w:tblPr>
      <w:tblGrid>
        <w:gridCol w:w="7474"/>
        <w:gridCol w:w="2040"/>
      </w:tblGrid>
      <w:tr w:rsidR="00ED586C">
        <w:trPr>
          <w:trHeight w:val="510"/>
          <w:jc w:val="center"/>
        </w:trPr>
        <w:tc>
          <w:tcPr>
            <w:tcW w:w="3928" w:type="pct"/>
            <w:vAlign w:val="center"/>
          </w:tcPr>
          <w:p w:rsidR="00ED586C" w:rsidRDefault="005F7023">
            <w:pPr>
              <w:pStyle w:val="a8"/>
              <w:widowControl/>
              <w:spacing w:line="360" w:lineRule="auto"/>
              <w:ind w:left="420" w:firstLineChars="0" w:firstLine="0"/>
              <w:jc w:val="center"/>
              <w:rPr>
                <w:rFonts w:ascii="宋体" w:eastAsia="宋体" w:hAnsi="宋体" w:cs="宋体"/>
                <w:sz w:val="24"/>
              </w:rPr>
            </w:pPr>
            <w:r>
              <w:rPr>
                <w:rFonts w:ascii="宋体" w:eastAsia="宋体" w:hAnsi="宋体" w:cs="宋体" w:hint="eastAsia"/>
                <w:kern w:val="0"/>
                <w:sz w:val="24"/>
              </w:rPr>
              <w:t>基金名称</w:t>
            </w:r>
          </w:p>
        </w:tc>
        <w:tc>
          <w:tcPr>
            <w:tcW w:w="1072" w:type="pct"/>
            <w:vAlign w:val="center"/>
          </w:tcPr>
          <w:p w:rsidR="00ED586C" w:rsidRDefault="005F7023">
            <w:pPr>
              <w:widowControl/>
              <w:spacing w:line="360" w:lineRule="auto"/>
              <w:jc w:val="center"/>
              <w:rPr>
                <w:rFonts w:ascii="宋体" w:eastAsia="宋体" w:hAnsi="宋体" w:cs="宋体"/>
                <w:sz w:val="24"/>
              </w:rPr>
            </w:pPr>
            <w:r>
              <w:rPr>
                <w:rFonts w:ascii="宋体" w:eastAsia="宋体" w:hAnsi="宋体" w:cs="宋体" w:hint="eastAsia"/>
                <w:kern w:val="0"/>
                <w:sz w:val="24"/>
              </w:rPr>
              <w:t>基金代码</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中邮定期开放债券型证券投资基金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000271 </w:t>
            </w:r>
          </w:p>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000272</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中邮核心竞争力灵活配置混合型证券投资基金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000545</w:t>
            </w:r>
          </w:p>
        </w:tc>
      </w:tr>
      <w:tr w:rsidR="00ED586C">
        <w:trPr>
          <w:trHeight w:val="465"/>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中邮货币市场基金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000576 </w:t>
            </w:r>
          </w:p>
          <w:p w:rsidR="00ED586C" w:rsidRDefault="005F7023">
            <w:pPr>
              <w:widowControl/>
              <w:jc w:val="center"/>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类：</w:t>
            </w:r>
            <w:r>
              <w:rPr>
                <w:rFonts w:ascii="宋体" w:eastAsia="宋体" w:hAnsi="宋体" w:hint="eastAsia"/>
                <w:color w:val="000000"/>
                <w:sz w:val="24"/>
              </w:rPr>
              <w:t>000580</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中邮多策略灵活配置混合型证券投资基金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000706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中邮核心科技创新灵活配置混合型证券投资基金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000966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中邮新思路灵活配置混合型证券投资基金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001224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中邮趋势精选灵活配置混合型证券投资基金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001225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中邮信息产业灵活配置混合型证券投资基金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001227</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中邮创新优势灵活配置混合型证券投资基金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001275</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sz w:val="24"/>
              </w:rPr>
            </w:pPr>
            <w:r>
              <w:rPr>
                <w:rFonts w:ascii="宋体" w:eastAsia="宋体" w:hAnsi="宋体" w:hint="eastAsia"/>
                <w:sz w:val="24"/>
              </w:rPr>
              <w:t>中邮风格轮动灵活配置混合型证券投资基金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001479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中邮低碳经济灵活配置混合型证券投资基金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001983</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中邮睿信增强债券型证券投资基金</w:t>
            </w:r>
          </w:p>
        </w:tc>
        <w:tc>
          <w:tcPr>
            <w:tcW w:w="1072" w:type="pct"/>
            <w:vAlign w:val="center"/>
          </w:tcPr>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002474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中邮未来新蓝筹灵活配置混合型证券投资基金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002620</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中邮医药健康灵活配置混合型证券投资基金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003284</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中邮消费升级灵活配置混合型发起式证券投资基金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003513</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中邮军民融合灵活配置混合型证券投资基金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004139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中邮沪港深精选混合型证券投资基金</w:t>
            </w:r>
          </w:p>
        </w:tc>
        <w:tc>
          <w:tcPr>
            <w:tcW w:w="1072" w:type="pct"/>
            <w:vAlign w:val="center"/>
          </w:tcPr>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006477</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中邮优享一年定期开放混合型证券投资基金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009201 </w:t>
            </w:r>
          </w:p>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009202</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中邮价值精选混合型证券投资基金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009488 </w:t>
            </w:r>
          </w:p>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009489</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Arial"/>
                <w:color w:val="000000"/>
                <w:sz w:val="24"/>
              </w:rPr>
            </w:pPr>
            <w:r>
              <w:rPr>
                <w:rFonts w:ascii="宋体" w:eastAsia="宋体" w:hAnsi="宋体" w:hint="eastAsia"/>
                <w:sz w:val="24"/>
              </w:rPr>
              <w:t>中邮纯债丰利债券型证券投资基金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010086 </w:t>
            </w:r>
          </w:p>
          <w:p w:rsidR="00ED586C" w:rsidRDefault="005F7023">
            <w:pPr>
              <w:widowControl/>
              <w:jc w:val="center"/>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010087</w:t>
            </w:r>
          </w:p>
          <w:p w:rsidR="00ED586C" w:rsidRDefault="005F7023">
            <w:pPr>
              <w:widowControl/>
              <w:jc w:val="center"/>
              <w:rPr>
                <w:rFonts w:ascii="宋体" w:eastAsia="宋体" w:hAnsi="宋体" w:cs="Arial"/>
                <w:color w:val="000000"/>
                <w:sz w:val="24"/>
              </w:rPr>
            </w:pPr>
            <w:r>
              <w:rPr>
                <w:rFonts w:ascii="宋体" w:eastAsia="宋体" w:hAnsi="宋体" w:hint="eastAsia"/>
                <w:color w:val="000000"/>
                <w:sz w:val="24"/>
              </w:rPr>
              <w:t>E</w:t>
            </w:r>
            <w:r>
              <w:rPr>
                <w:rFonts w:ascii="宋体" w:eastAsia="宋体" w:hAnsi="宋体" w:hint="eastAsia"/>
                <w:color w:val="000000"/>
                <w:sz w:val="24"/>
              </w:rPr>
              <w:t>类：</w:t>
            </w:r>
            <w:r>
              <w:rPr>
                <w:rFonts w:ascii="宋体" w:eastAsia="宋体" w:hAnsi="宋体"/>
                <w:color w:val="000000"/>
                <w:sz w:val="24"/>
              </w:rPr>
              <w:t>019526</w:t>
            </w:r>
          </w:p>
        </w:tc>
      </w:tr>
      <w:tr w:rsidR="00ED586C">
        <w:trPr>
          <w:trHeight w:val="510"/>
          <w:jc w:val="center"/>
        </w:trPr>
        <w:tc>
          <w:tcPr>
            <w:tcW w:w="3928" w:type="pct"/>
            <w:vAlign w:val="center"/>
          </w:tcPr>
          <w:p w:rsidR="00ED586C" w:rsidRDefault="005F7023">
            <w:pPr>
              <w:widowControl/>
              <w:spacing w:line="360" w:lineRule="auto"/>
              <w:jc w:val="center"/>
              <w:rPr>
                <w:rFonts w:ascii="宋体" w:eastAsia="宋体" w:hAnsi="宋体" w:cs="宋体"/>
                <w:kern w:val="0"/>
                <w:sz w:val="24"/>
              </w:rPr>
            </w:pPr>
            <w:r>
              <w:rPr>
                <w:rFonts w:ascii="宋体" w:eastAsia="宋体" w:hAnsi="宋体" w:hint="eastAsia"/>
                <w:sz w:val="24"/>
              </w:rPr>
              <w:t>中邮稳定收益债券型证券投资基金</w:t>
            </w:r>
          </w:p>
        </w:tc>
        <w:tc>
          <w:tcPr>
            <w:tcW w:w="1072" w:type="pct"/>
            <w:vAlign w:val="center"/>
          </w:tcPr>
          <w:p w:rsidR="00ED586C" w:rsidRDefault="005F70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590009 </w:t>
            </w:r>
          </w:p>
          <w:p w:rsidR="00ED586C" w:rsidRDefault="005F7023">
            <w:pPr>
              <w:widowControl/>
              <w:jc w:val="center"/>
              <w:rPr>
                <w:rFonts w:ascii="宋体" w:eastAsia="宋体" w:hAnsi="宋体" w:cs="宋体"/>
                <w:kern w:val="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590010</w:t>
            </w:r>
          </w:p>
        </w:tc>
      </w:tr>
    </w:tbl>
    <w:p w:rsidR="00ED586C" w:rsidRDefault="005F7023">
      <w:pPr>
        <w:spacing w:line="360" w:lineRule="auto"/>
        <w:ind w:firstLineChars="200" w:firstLine="480"/>
        <w:rPr>
          <w:rFonts w:ascii="宋体" w:hAnsi="宋体" w:cs="宋体"/>
          <w:sz w:val="24"/>
        </w:rPr>
      </w:pPr>
      <w:r>
        <w:rPr>
          <w:rFonts w:ascii="宋体" w:eastAsia="宋体" w:hAnsi="宋体" w:cs="宋体" w:hint="eastAsia"/>
          <w:sz w:val="24"/>
        </w:rPr>
        <w:t>投资者通过东兴证券办理上述列表中对应基金的赎回业务时，最低赎回份额及最低持有份额调整为</w:t>
      </w:r>
      <w:r>
        <w:rPr>
          <w:rFonts w:ascii="宋体" w:eastAsia="宋体" w:hAnsi="宋体" w:cs="宋体" w:hint="eastAsia"/>
          <w:sz w:val="24"/>
        </w:rPr>
        <w:t>0</w:t>
      </w:r>
      <w:r>
        <w:rPr>
          <w:rFonts w:ascii="宋体" w:eastAsia="宋体" w:hAnsi="宋体" w:cs="宋体"/>
          <w:sz w:val="24"/>
        </w:rPr>
        <w:t>.0</w:t>
      </w:r>
      <w:r>
        <w:rPr>
          <w:rFonts w:ascii="宋体" w:eastAsia="宋体" w:hAnsi="宋体" w:cs="宋体" w:hint="eastAsia"/>
          <w:sz w:val="24"/>
        </w:rPr>
        <w:t>1</w:t>
      </w:r>
      <w:r>
        <w:rPr>
          <w:rFonts w:ascii="宋体" w:eastAsia="宋体" w:hAnsi="宋体" w:cs="宋体" w:hint="eastAsia"/>
          <w:sz w:val="24"/>
        </w:rPr>
        <w:t>份，具体以东兴证券公布信息为准。</w:t>
      </w:r>
    </w:p>
    <w:p w:rsidR="00ED586C" w:rsidRDefault="00ED586C">
      <w:pPr>
        <w:spacing w:line="360" w:lineRule="auto"/>
        <w:ind w:leftChars="200" w:left="420"/>
        <w:rPr>
          <w:rFonts w:ascii="宋体" w:hAnsi="宋体" w:cs="宋体"/>
          <w:sz w:val="24"/>
        </w:rPr>
      </w:pPr>
    </w:p>
    <w:p w:rsidR="00ED586C" w:rsidRDefault="005F7023">
      <w:pPr>
        <w:spacing w:line="360" w:lineRule="auto"/>
        <w:ind w:leftChars="200" w:left="420"/>
        <w:rPr>
          <w:rFonts w:ascii="宋体" w:hAnsi="宋体" w:cs="宋体"/>
          <w:b/>
          <w:bCs/>
          <w:sz w:val="24"/>
        </w:rPr>
      </w:pPr>
      <w:r>
        <w:rPr>
          <w:rFonts w:ascii="宋体" w:hAnsi="宋体" w:cs="宋体" w:hint="eastAsia"/>
          <w:b/>
          <w:bCs/>
          <w:sz w:val="24"/>
        </w:rPr>
        <w:t>二、可通过以下途径了解或咨询相关情况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3073"/>
        <w:gridCol w:w="2038"/>
      </w:tblGrid>
      <w:tr w:rsidR="00ED586C">
        <w:trPr>
          <w:trHeight w:val="567"/>
        </w:trPr>
        <w:tc>
          <w:tcPr>
            <w:tcW w:w="2314" w:type="pct"/>
            <w:vAlign w:val="center"/>
          </w:tcPr>
          <w:p w:rsidR="00ED586C" w:rsidRDefault="005F7023">
            <w:pPr>
              <w:widowControl/>
              <w:spacing w:line="360" w:lineRule="auto"/>
              <w:jc w:val="center"/>
              <w:rPr>
                <w:rFonts w:ascii="宋体" w:hAnsi="宋体" w:cs="宋体"/>
                <w:kern w:val="0"/>
                <w:sz w:val="24"/>
              </w:rPr>
            </w:pPr>
            <w:r>
              <w:rPr>
                <w:rFonts w:ascii="宋体" w:hAnsi="宋体" w:cs="宋体" w:hint="eastAsia"/>
                <w:kern w:val="0"/>
                <w:sz w:val="24"/>
              </w:rPr>
              <w:t>机构名称</w:t>
            </w:r>
          </w:p>
        </w:tc>
        <w:tc>
          <w:tcPr>
            <w:tcW w:w="1615" w:type="pct"/>
            <w:vAlign w:val="center"/>
          </w:tcPr>
          <w:p w:rsidR="00ED586C" w:rsidRDefault="005F7023">
            <w:pPr>
              <w:widowControl/>
              <w:spacing w:line="360" w:lineRule="auto"/>
              <w:jc w:val="center"/>
              <w:rPr>
                <w:rFonts w:ascii="宋体" w:hAnsi="宋体" w:cs="宋体"/>
                <w:kern w:val="0"/>
                <w:sz w:val="24"/>
              </w:rPr>
            </w:pPr>
            <w:r>
              <w:rPr>
                <w:rFonts w:ascii="宋体" w:hAnsi="宋体" w:cs="宋体" w:hint="eastAsia"/>
                <w:kern w:val="0"/>
                <w:sz w:val="24"/>
              </w:rPr>
              <w:t>网址</w:t>
            </w:r>
          </w:p>
        </w:tc>
        <w:tc>
          <w:tcPr>
            <w:tcW w:w="1071" w:type="pct"/>
            <w:vAlign w:val="center"/>
          </w:tcPr>
          <w:p w:rsidR="00ED586C" w:rsidRDefault="005F7023">
            <w:pPr>
              <w:widowControl/>
              <w:spacing w:line="360" w:lineRule="auto"/>
              <w:jc w:val="center"/>
              <w:rPr>
                <w:rFonts w:ascii="宋体" w:hAnsi="宋体" w:cs="宋体"/>
                <w:kern w:val="0"/>
                <w:sz w:val="24"/>
              </w:rPr>
            </w:pPr>
            <w:r>
              <w:rPr>
                <w:rFonts w:ascii="宋体" w:hAnsi="宋体" w:cs="宋体" w:hint="eastAsia"/>
                <w:kern w:val="0"/>
                <w:sz w:val="24"/>
              </w:rPr>
              <w:t>客服热线</w:t>
            </w:r>
          </w:p>
        </w:tc>
      </w:tr>
      <w:tr w:rsidR="00ED586C">
        <w:trPr>
          <w:trHeight w:val="567"/>
        </w:trPr>
        <w:tc>
          <w:tcPr>
            <w:tcW w:w="2314" w:type="pct"/>
            <w:vAlign w:val="center"/>
          </w:tcPr>
          <w:p w:rsidR="00ED586C" w:rsidRDefault="005F7023">
            <w:pPr>
              <w:widowControl/>
              <w:jc w:val="center"/>
              <w:rPr>
                <w:rFonts w:ascii="宋体" w:hAnsi="宋体" w:cs="宋体"/>
                <w:kern w:val="0"/>
                <w:sz w:val="24"/>
              </w:rPr>
            </w:pPr>
            <w:r>
              <w:rPr>
                <w:rFonts w:ascii="宋体" w:eastAsia="宋体" w:hAnsi="宋体" w:cs="宋体" w:hint="eastAsia"/>
                <w:sz w:val="24"/>
              </w:rPr>
              <w:t>东兴证券股份有限公司</w:t>
            </w:r>
          </w:p>
        </w:tc>
        <w:tc>
          <w:tcPr>
            <w:tcW w:w="1615" w:type="pct"/>
            <w:vAlign w:val="center"/>
          </w:tcPr>
          <w:p w:rsidR="00ED586C" w:rsidRDefault="005F7023">
            <w:pPr>
              <w:jc w:val="center"/>
              <w:rPr>
                <w:rFonts w:ascii="宋体" w:hAnsi="宋体" w:cs="宋体"/>
                <w:sz w:val="24"/>
              </w:rPr>
            </w:pPr>
            <w:r>
              <w:rPr>
                <w:rFonts w:ascii="宋体" w:eastAsia="宋体" w:hAnsi="宋体" w:cs="宋体"/>
                <w:sz w:val="24"/>
              </w:rPr>
              <w:t>www.dxzq.net</w:t>
            </w:r>
          </w:p>
        </w:tc>
        <w:tc>
          <w:tcPr>
            <w:tcW w:w="1071" w:type="pct"/>
            <w:vAlign w:val="center"/>
          </w:tcPr>
          <w:p w:rsidR="00ED586C" w:rsidRDefault="005F7023">
            <w:pPr>
              <w:jc w:val="center"/>
              <w:rPr>
                <w:rFonts w:ascii="宋体" w:hAnsi="宋体" w:cs="宋体"/>
                <w:sz w:val="24"/>
              </w:rPr>
            </w:pPr>
            <w:r>
              <w:rPr>
                <w:rFonts w:ascii="宋体" w:eastAsia="宋体" w:hAnsi="宋体" w:cs="宋体"/>
                <w:sz w:val="24"/>
              </w:rPr>
              <w:t>95309</w:t>
            </w:r>
          </w:p>
        </w:tc>
      </w:tr>
      <w:tr w:rsidR="00ED586C">
        <w:trPr>
          <w:trHeight w:val="285"/>
        </w:trPr>
        <w:tc>
          <w:tcPr>
            <w:tcW w:w="2314" w:type="pct"/>
            <w:vAlign w:val="center"/>
          </w:tcPr>
          <w:p w:rsidR="00ED586C" w:rsidRDefault="005F7023">
            <w:pPr>
              <w:widowControl/>
              <w:jc w:val="center"/>
              <w:rPr>
                <w:rFonts w:ascii="宋体" w:hAnsi="宋体" w:cs="宋体"/>
                <w:kern w:val="0"/>
                <w:sz w:val="24"/>
              </w:rPr>
            </w:pPr>
            <w:r>
              <w:rPr>
                <w:rFonts w:ascii="宋体" w:hAnsi="宋体" w:cs="宋体" w:hint="eastAsia"/>
                <w:kern w:val="0"/>
                <w:sz w:val="24"/>
              </w:rPr>
              <w:t>中邮创业基金管理股份有限公司</w:t>
            </w:r>
          </w:p>
        </w:tc>
        <w:tc>
          <w:tcPr>
            <w:tcW w:w="1615" w:type="pct"/>
            <w:vAlign w:val="center"/>
          </w:tcPr>
          <w:p w:rsidR="00ED586C" w:rsidRDefault="005F7023">
            <w:pPr>
              <w:widowControl/>
              <w:jc w:val="center"/>
              <w:rPr>
                <w:rFonts w:ascii="宋体" w:hAnsi="宋体" w:cs="宋体"/>
                <w:sz w:val="24"/>
              </w:rPr>
            </w:pPr>
            <w:r>
              <w:rPr>
                <w:rFonts w:ascii="宋体" w:hAnsi="宋体" w:cs="宋体" w:hint="eastAsia"/>
                <w:sz w:val="24"/>
              </w:rPr>
              <w:t>www.postfund.com.cn</w:t>
            </w:r>
          </w:p>
        </w:tc>
        <w:tc>
          <w:tcPr>
            <w:tcW w:w="1071" w:type="pct"/>
            <w:vAlign w:val="center"/>
          </w:tcPr>
          <w:p w:rsidR="00ED586C" w:rsidRDefault="005F7023">
            <w:pPr>
              <w:widowControl/>
              <w:jc w:val="center"/>
              <w:rPr>
                <w:rFonts w:ascii="宋体" w:hAnsi="宋体" w:cs="宋体"/>
                <w:sz w:val="24"/>
              </w:rPr>
            </w:pPr>
            <w:r>
              <w:rPr>
                <w:rFonts w:ascii="宋体" w:hAnsi="宋体" w:cs="宋体" w:hint="eastAsia"/>
                <w:sz w:val="24"/>
              </w:rPr>
              <w:t>400-880-1618</w:t>
            </w:r>
          </w:p>
          <w:p w:rsidR="00ED586C" w:rsidRDefault="005F7023">
            <w:pPr>
              <w:widowControl/>
              <w:jc w:val="center"/>
              <w:rPr>
                <w:rFonts w:ascii="宋体" w:hAnsi="宋体" w:cs="宋体"/>
                <w:sz w:val="24"/>
              </w:rPr>
            </w:pPr>
            <w:r>
              <w:rPr>
                <w:rFonts w:ascii="宋体" w:hAnsi="宋体" w:cs="宋体" w:hint="eastAsia"/>
                <w:sz w:val="24"/>
              </w:rPr>
              <w:t>010-58511618</w:t>
            </w:r>
          </w:p>
        </w:tc>
      </w:tr>
    </w:tbl>
    <w:p w:rsidR="00ED586C" w:rsidRDefault="00ED586C">
      <w:pPr>
        <w:spacing w:line="360" w:lineRule="auto"/>
        <w:ind w:firstLineChars="200" w:firstLine="480"/>
        <w:outlineLvl w:val="0"/>
        <w:rPr>
          <w:rFonts w:ascii="宋体" w:eastAsia="宋体" w:hAnsi="宋体" w:cs="宋体"/>
          <w:sz w:val="24"/>
        </w:rPr>
      </w:pPr>
    </w:p>
    <w:p w:rsidR="00ED586C" w:rsidRDefault="005F7023">
      <w:pPr>
        <w:spacing w:line="360" w:lineRule="auto"/>
        <w:ind w:firstLineChars="200" w:firstLine="480"/>
        <w:outlineLvl w:val="0"/>
        <w:rPr>
          <w:rFonts w:ascii="宋体" w:eastAsia="宋体" w:hAnsi="宋体" w:cs="宋体"/>
          <w:color w:val="000000"/>
          <w:szCs w:val="21"/>
        </w:rPr>
      </w:pPr>
      <w:r>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ED586C" w:rsidRDefault="005F7023">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特此公告。</w:t>
      </w:r>
    </w:p>
    <w:p w:rsidR="00ED586C" w:rsidRDefault="00ED586C">
      <w:pPr>
        <w:spacing w:line="360" w:lineRule="auto"/>
        <w:ind w:firstLineChars="200" w:firstLine="480"/>
        <w:rPr>
          <w:rFonts w:ascii="宋体" w:eastAsia="宋体" w:hAnsi="宋体" w:cs="宋体"/>
          <w:color w:val="000000"/>
          <w:sz w:val="24"/>
        </w:rPr>
      </w:pPr>
    </w:p>
    <w:p w:rsidR="00ED586C" w:rsidRDefault="005F7023">
      <w:pPr>
        <w:spacing w:line="360" w:lineRule="auto"/>
        <w:ind w:firstLineChars="200" w:firstLine="480"/>
        <w:jc w:val="right"/>
        <w:outlineLvl w:val="0"/>
        <w:rPr>
          <w:rFonts w:ascii="宋体" w:eastAsia="宋体" w:hAnsi="宋体" w:cs="宋体"/>
          <w:color w:val="000000"/>
          <w:sz w:val="24"/>
        </w:rPr>
      </w:pPr>
      <w:r>
        <w:rPr>
          <w:rFonts w:ascii="宋体" w:eastAsia="宋体" w:hAnsi="宋体" w:cs="宋体" w:hint="eastAsia"/>
          <w:color w:val="000000"/>
          <w:sz w:val="24"/>
        </w:rPr>
        <w:t xml:space="preserve">                     </w:t>
      </w:r>
    </w:p>
    <w:p w:rsidR="00ED586C" w:rsidRDefault="005F7023">
      <w:pPr>
        <w:spacing w:line="360" w:lineRule="auto"/>
        <w:ind w:firstLineChars="200" w:firstLine="480"/>
        <w:jc w:val="right"/>
        <w:outlineLvl w:val="0"/>
        <w:rPr>
          <w:rFonts w:ascii="宋体" w:eastAsia="宋体" w:hAnsi="宋体" w:cs="宋体"/>
          <w:sz w:val="24"/>
        </w:rPr>
      </w:pPr>
      <w:r>
        <w:rPr>
          <w:rFonts w:ascii="宋体" w:eastAsia="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sz w:val="24"/>
        </w:rPr>
        <w:t>中邮创业基金管理股份有限公司</w:t>
      </w:r>
    </w:p>
    <w:p w:rsidR="00ED586C" w:rsidRDefault="005F7023">
      <w:pPr>
        <w:spacing w:line="360" w:lineRule="auto"/>
        <w:ind w:firstLineChars="200" w:firstLine="480"/>
        <w:jc w:val="center"/>
        <w:outlineLvl w:val="0"/>
        <w:rPr>
          <w:rFonts w:ascii="宋体" w:hAnsi="宋体" w:cs="宋体"/>
          <w:sz w:val="24"/>
        </w:rPr>
      </w:pPr>
      <w:r>
        <w:rPr>
          <w:rFonts w:ascii="宋体" w:eastAsia="宋体" w:hAnsi="宋体" w:cs="宋体"/>
          <w:sz w:val="24"/>
        </w:rPr>
        <w:t xml:space="preserve">          </w:t>
      </w:r>
      <w:r>
        <w:rPr>
          <w:rFonts w:ascii="宋体" w:eastAsia="宋体" w:hAnsi="宋体" w:cs="宋体"/>
          <w:sz w:val="24"/>
        </w:rPr>
        <w:t xml:space="preserve">                                     </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29</w:t>
      </w:r>
      <w:r>
        <w:rPr>
          <w:rFonts w:ascii="宋体" w:eastAsia="宋体" w:hAnsi="宋体" w:cs="宋体" w:hint="eastAsia"/>
          <w:sz w:val="24"/>
        </w:rPr>
        <w:t>日</w:t>
      </w:r>
    </w:p>
    <w:sectPr w:rsidR="00ED586C" w:rsidSect="00EE6263">
      <w:pgSz w:w="11906" w:h="16838"/>
      <w:pgMar w:top="1276" w:right="1304" w:bottom="1418"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60EAF"/>
    <w:multiLevelType w:val="multilevel"/>
    <w:tmpl w:val="48D60EAF"/>
    <w:lvl w:ilvl="0">
      <w:start w:val="1"/>
      <w:numFmt w:val="decimal"/>
      <w:lvlText w:val="%1、"/>
      <w:lvlJc w:val="left"/>
      <w:pPr>
        <w:ind w:left="1202" w:hanging="720"/>
      </w:pPr>
      <w:rPr>
        <w:rFonts w:hint="eastAsia"/>
        <w:b w:val="0"/>
        <w:i w:val="0"/>
      </w:rPr>
    </w:lvl>
    <w:lvl w:ilvl="1">
      <w:start w:val="1"/>
      <w:numFmt w:val="lowerLetter"/>
      <w:lvlText w:val="%2)"/>
      <w:lvlJc w:val="left"/>
      <w:pPr>
        <w:ind w:left="1362" w:hanging="440"/>
      </w:pPr>
    </w:lvl>
    <w:lvl w:ilvl="2">
      <w:start w:val="1"/>
      <w:numFmt w:val="lowerRoman"/>
      <w:lvlText w:val="%3."/>
      <w:lvlJc w:val="right"/>
      <w:pPr>
        <w:ind w:left="1802" w:hanging="440"/>
      </w:pPr>
    </w:lvl>
    <w:lvl w:ilvl="3">
      <w:start w:val="1"/>
      <w:numFmt w:val="decimal"/>
      <w:lvlText w:val="%4."/>
      <w:lvlJc w:val="left"/>
      <w:pPr>
        <w:ind w:left="2242" w:hanging="440"/>
      </w:pPr>
    </w:lvl>
    <w:lvl w:ilvl="4">
      <w:start w:val="1"/>
      <w:numFmt w:val="lowerLetter"/>
      <w:lvlText w:val="%5)"/>
      <w:lvlJc w:val="left"/>
      <w:pPr>
        <w:ind w:left="2682" w:hanging="440"/>
      </w:pPr>
    </w:lvl>
    <w:lvl w:ilvl="5">
      <w:start w:val="1"/>
      <w:numFmt w:val="lowerRoman"/>
      <w:lvlText w:val="%6."/>
      <w:lvlJc w:val="right"/>
      <w:pPr>
        <w:ind w:left="3122" w:hanging="440"/>
      </w:pPr>
    </w:lvl>
    <w:lvl w:ilvl="6">
      <w:start w:val="1"/>
      <w:numFmt w:val="decimal"/>
      <w:lvlText w:val="%7."/>
      <w:lvlJc w:val="left"/>
      <w:pPr>
        <w:ind w:left="3562" w:hanging="440"/>
      </w:pPr>
    </w:lvl>
    <w:lvl w:ilvl="7">
      <w:start w:val="1"/>
      <w:numFmt w:val="lowerLetter"/>
      <w:lvlText w:val="%8)"/>
      <w:lvlJc w:val="left"/>
      <w:pPr>
        <w:ind w:left="4002" w:hanging="440"/>
      </w:pPr>
    </w:lvl>
    <w:lvl w:ilvl="8">
      <w:start w:val="1"/>
      <w:numFmt w:val="lowerRoman"/>
      <w:lvlText w:val="%9."/>
      <w:lvlJc w:val="right"/>
      <w:pPr>
        <w:ind w:left="4442" w:hanging="440"/>
      </w:pPr>
    </w:lvl>
  </w:abstractNum>
  <w:abstractNum w:abstractNumId="1">
    <w:nsid w:val="5E26C130"/>
    <w:multiLevelType w:val="singleLevel"/>
    <w:tmpl w:val="5E26C130"/>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ODQwMmJiOGQxODc4MjRkMTNmMTc3MzAzZjU1MmRjYjkifQ=="/>
  </w:docVars>
  <w:rsids>
    <w:rsidRoot w:val="0240325B"/>
    <w:rsid w:val="000001DC"/>
    <w:rsid w:val="00001FCA"/>
    <w:rsid w:val="00015C70"/>
    <w:rsid w:val="00022AE2"/>
    <w:rsid w:val="00041D3E"/>
    <w:rsid w:val="00056BA1"/>
    <w:rsid w:val="0007051A"/>
    <w:rsid w:val="00072671"/>
    <w:rsid w:val="0007610B"/>
    <w:rsid w:val="0007775F"/>
    <w:rsid w:val="00080F89"/>
    <w:rsid w:val="000849AF"/>
    <w:rsid w:val="000A60FC"/>
    <w:rsid w:val="000B52CD"/>
    <w:rsid w:val="000C15EB"/>
    <w:rsid w:val="00102F8C"/>
    <w:rsid w:val="00116A67"/>
    <w:rsid w:val="001223D8"/>
    <w:rsid w:val="00127A06"/>
    <w:rsid w:val="001560A2"/>
    <w:rsid w:val="001722D8"/>
    <w:rsid w:val="001848DA"/>
    <w:rsid w:val="001A7EB3"/>
    <w:rsid w:val="001B5471"/>
    <w:rsid w:val="001C3D38"/>
    <w:rsid w:val="001D7E86"/>
    <w:rsid w:val="001E784A"/>
    <w:rsid w:val="001F24A2"/>
    <w:rsid w:val="001F2B00"/>
    <w:rsid w:val="001F7313"/>
    <w:rsid w:val="002140DC"/>
    <w:rsid w:val="00255CBF"/>
    <w:rsid w:val="00261FFC"/>
    <w:rsid w:val="002627C9"/>
    <w:rsid w:val="00283959"/>
    <w:rsid w:val="002E490F"/>
    <w:rsid w:val="003004AD"/>
    <w:rsid w:val="00307772"/>
    <w:rsid w:val="00310052"/>
    <w:rsid w:val="003224E7"/>
    <w:rsid w:val="00343BEA"/>
    <w:rsid w:val="0034539D"/>
    <w:rsid w:val="003533FD"/>
    <w:rsid w:val="00390C1D"/>
    <w:rsid w:val="003A0A2D"/>
    <w:rsid w:val="003E0CCB"/>
    <w:rsid w:val="003E553F"/>
    <w:rsid w:val="004044BF"/>
    <w:rsid w:val="00411382"/>
    <w:rsid w:val="00414A80"/>
    <w:rsid w:val="00416C0A"/>
    <w:rsid w:val="00416EE8"/>
    <w:rsid w:val="00454DC0"/>
    <w:rsid w:val="00463449"/>
    <w:rsid w:val="00464ADE"/>
    <w:rsid w:val="004675A6"/>
    <w:rsid w:val="00494228"/>
    <w:rsid w:val="004A73FE"/>
    <w:rsid w:val="004B09B2"/>
    <w:rsid w:val="004C18CC"/>
    <w:rsid w:val="004C4E5E"/>
    <w:rsid w:val="004E6805"/>
    <w:rsid w:val="004F5EA2"/>
    <w:rsid w:val="00501A05"/>
    <w:rsid w:val="005059C8"/>
    <w:rsid w:val="005208FC"/>
    <w:rsid w:val="0053664F"/>
    <w:rsid w:val="005415AC"/>
    <w:rsid w:val="00550124"/>
    <w:rsid w:val="00552AF4"/>
    <w:rsid w:val="00561560"/>
    <w:rsid w:val="005725B6"/>
    <w:rsid w:val="0057619A"/>
    <w:rsid w:val="005805F1"/>
    <w:rsid w:val="00585FDD"/>
    <w:rsid w:val="005967A7"/>
    <w:rsid w:val="005A2B16"/>
    <w:rsid w:val="005A746A"/>
    <w:rsid w:val="005A75E9"/>
    <w:rsid w:val="005C150A"/>
    <w:rsid w:val="005C5FCD"/>
    <w:rsid w:val="005C6723"/>
    <w:rsid w:val="005C7FBA"/>
    <w:rsid w:val="005F7023"/>
    <w:rsid w:val="006018D7"/>
    <w:rsid w:val="006061D9"/>
    <w:rsid w:val="00623FD5"/>
    <w:rsid w:val="00625C46"/>
    <w:rsid w:val="00636102"/>
    <w:rsid w:val="006406A4"/>
    <w:rsid w:val="006526E5"/>
    <w:rsid w:val="00655DAB"/>
    <w:rsid w:val="00671B2F"/>
    <w:rsid w:val="0068100C"/>
    <w:rsid w:val="00684F1E"/>
    <w:rsid w:val="006958A5"/>
    <w:rsid w:val="006A7153"/>
    <w:rsid w:val="006C7ABB"/>
    <w:rsid w:val="006D11E5"/>
    <w:rsid w:val="006D58F2"/>
    <w:rsid w:val="006D764E"/>
    <w:rsid w:val="006F1490"/>
    <w:rsid w:val="007153F8"/>
    <w:rsid w:val="00730B9C"/>
    <w:rsid w:val="00744A9A"/>
    <w:rsid w:val="007543EB"/>
    <w:rsid w:val="00756D46"/>
    <w:rsid w:val="00756FCF"/>
    <w:rsid w:val="0076299F"/>
    <w:rsid w:val="00762D5F"/>
    <w:rsid w:val="007C2F23"/>
    <w:rsid w:val="007E517B"/>
    <w:rsid w:val="007F0307"/>
    <w:rsid w:val="007F401C"/>
    <w:rsid w:val="00805051"/>
    <w:rsid w:val="00822122"/>
    <w:rsid w:val="00832738"/>
    <w:rsid w:val="008333F6"/>
    <w:rsid w:val="00843238"/>
    <w:rsid w:val="008501CF"/>
    <w:rsid w:val="00896688"/>
    <w:rsid w:val="008A1BF9"/>
    <w:rsid w:val="008A562E"/>
    <w:rsid w:val="008B278A"/>
    <w:rsid w:val="008C1A83"/>
    <w:rsid w:val="00921638"/>
    <w:rsid w:val="00922FA6"/>
    <w:rsid w:val="009266A4"/>
    <w:rsid w:val="009543DD"/>
    <w:rsid w:val="00956E01"/>
    <w:rsid w:val="00974CD5"/>
    <w:rsid w:val="009A26B4"/>
    <w:rsid w:val="009C6C17"/>
    <w:rsid w:val="009E4ED6"/>
    <w:rsid w:val="00A243E8"/>
    <w:rsid w:val="00A2566D"/>
    <w:rsid w:val="00A27E50"/>
    <w:rsid w:val="00A33F14"/>
    <w:rsid w:val="00A53684"/>
    <w:rsid w:val="00A53AFF"/>
    <w:rsid w:val="00A7323E"/>
    <w:rsid w:val="00AB092E"/>
    <w:rsid w:val="00AE7C8C"/>
    <w:rsid w:val="00B00090"/>
    <w:rsid w:val="00B15D32"/>
    <w:rsid w:val="00B25566"/>
    <w:rsid w:val="00B27BBB"/>
    <w:rsid w:val="00B65696"/>
    <w:rsid w:val="00B71733"/>
    <w:rsid w:val="00BB6D24"/>
    <w:rsid w:val="00BB7707"/>
    <w:rsid w:val="00BC5B50"/>
    <w:rsid w:val="00BF40D8"/>
    <w:rsid w:val="00C06AE5"/>
    <w:rsid w:val="00C2413F"/>
    <w:rsid w:val="00C27655"/>
    <w:rsid w:val="00C328EA"/>
    <w:rsid w:val="00C46072"/>
    <w:rsid w:val="00CA5F01"/>
    <w:rsid w:val="00CE1C68"/>
    <w:rsid w:val="00CE3DCB"/>
    <w:rsid w:val="00CE5DDF"/>
    <w:rsid w:val="00D05C3A"/>
    <w:rsid w:val="00D167C3"/>
    <w:rsid w:val="00D240C9"/>
    <w:rsid w:val="00D47754"/>
    <w:rsid w:val="00D51DBC"/>
    <w:rsid w:val="00D624DF"/>
    <w:rsid w:val="00D66D84"/>
    <w:rsid w:val="00D9476D"/>
    <w:rsid w:val="00DA153D"/>
    <w:rsid w:val="00DC5F8F"/>
    <w:rsid w:val="00DD07A2"/>
    <w:rsid w:val="00DD37C2"/>
    <w:rsid w:val="00DE73DA"/>
    <w:rsid w:val="00DF6882"/>
    <w:rsid w:val="00E03904"/>
    <w:rsid w:val="00E23E1F"/>
    <w:rsid w:val="00E35A0A"/>
    <w:rsid w:val="00E40622"/>
    <w:rsid w:val="00E66EE2"/>
    <w:rsid w:val="00E77B1B"/>
    <w:rsid w:val="00E81AFF"/>
    <w:rsid w:val="00EA5B65"/>
    <w:rsid w:val="00ED586C"/>
    <w:rsid w:val="00EE24FA"/>
    <w:rsid w:val="00EE5878"/>
    <w:rsid w:val="00EE6263"/>
    <w:rsid w:val="00EE7339"/>
    <w:rsid w:val="00F00A19"/>
    <w:rsid w:val="00F14219"/>
    <w:rsid w:val="00F2245B"/>
    <w:rsid w:val="00F248F4"/>
    <w:rsid w:val="00F32DED"/>
    <w:rsid w:val="00F35C9A"/>
    <w:rsid w:val="00F57FDC"/>
    <w:rsid w:val="00F6589E"/>
    <w:rsid w:val="00F76E7C"/>
    <w:rsid w:val="00F8743D"/>
    <w:rsid w:val="00F91B9B"/>
    <w:rsid w:val="00FB299F"/>
    <w:rsid w:val="00FD31DF"/>
    <w:rsid w:val="00FF02EC"/>
    <w:rsid w:val="0240325B"/>
    <w:rsid w:val="03EC4179"/>
    <w:rsid w:val="1765356E"/>
    <w:rsid w:val="183D440D"/>
    <w:rsid w:val="196E2241"/>
    <w:rsid w:val="1C543C83"/>
    <w:rsid w:val="1D666330"/>
    <w:rsid w:val="22484B55"/>
    <w:rsid w:val="23F74815"/>
    <w:rsid w:val="2BCE499E"/>
    <w:rsid w:val="3106478C"/>
    <w:rsid w:val="3BD17F7F"/>
    <w:rsid w:val="3E92405D"/>
    <w:rsid w:val="42A60D59"/>
    <w:rsid w:val="5A425B97"/>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26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EE6263"/>
    <w:rPr>
      <w:sz w:val="18"/>
      <w:szCs w:val="18"/>
    </w:rPr>
  </w:style>
  <w:style w:type="paragraph" w:styleId="a4">
    <w:name w:val="footer"/>
    <w:basedOn w:val="a"/>
    <w:link w:val="Char0"/>
    <w:qFormat/>
    <w:rsid w:val="00EE6263"/>
    <w:pPr>
      <w:tabs>
        <w:tab w:val="center" w:pos="4153"/>
        <w:tab w:val="right" w:pos="8306"/>
      </w:tabs>
      <w:snapToGrid w:val="0"/>
      <w:jc w:val="left"/>
    </w:pPr>
    <w:rPr>
      <w:sz w:val="18"/>
      <w:szCs w:val="18"/>
    </w:rPr>
  </w:style>
  <w:style w:type="paragraph" w:styleId="a5">
    <w:name w:val="header"/>
    <w:basedOn w:val="a"/>
    <w:link w:val="Char1"/>
    <w:qFormat/>
    <w:rsid w:val="00EE6263"/>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EE62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EE6263"/>
    <w:rPr>
      <w:color w:val="0563C1" w:themeColor="hyperlink"/>
      <w:u w:val="single"/>
    </w:rPr>
  </w:style>
  <w:style w:type="character" w:customStyle="1" w:styleId="Char1">
    <w:name w:val="页眉 Char"/>
    <w:basedOn w:val="a0"/>
    <w:link w:val="a5"/>
    <w:qFormat/>
    <w:rsid w:val="00EE6263"/>
    <w:rPr>
      <w:rFonts w:asciiTheme="minorHAnsi" w:eastAsiaTheme="minorEastAsia" w:hAnsiTheme="minorHAnsi" w:cstheme="minorBidi"/>
      <w:kern w:val="2"/>
      <w:sz w:val="18"/>
      <w:szCs w:val="18"/>
    </w:rPr>
  </w:style>
  <w:style w:type="character" w:customStyle="1" w:styleId="Char0">
    <w:name w:val="页脚 Char"/>
    <w:basedOn w:val="a0"/>
    <w:link w:val="a4"/>
    <w:rsid w:val="00EE6263"/>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sid w:val="00EE6263"/>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sid w:val="00EE6263"/>
    <w:rPr>
      <w:color w:val="605E5C"/>
      <w:shd w:val="clear" w:color="auto" w:fill="E1DFDD"/>
    </w:rPr>
  </w:style>
  <w:style w:type="paragraph" w:styleId="a8">
    <w:name w:val="List Paragraph"/>
    <w:basedOn w:val="a"/>
    <w:uiPriority w:val="99"/>
    <w:rsid w:val="00EE6263"/>
    <w:pPr>
      <w:ind w:firstLineChars="200" w:firstLine="420"/>
    </w:pPr>
  </w:style>
  <w:style w:type="character" w:customStyle="1" w:styleId="2">
    <w:name w:val="未处理的提及2"/>
    <w:basedOn w:val="a0"/>
    <w:uiPriority w:val="99"/>
    <w:semiHidden/>
    <w:unhideWhenUsed/>
    <w:rsid w:val="00EE6263"/>
    <w:rPr>
      <w:color w:val="605E5C"/>
      <w:shd w:val="clear" w:color="auto" w:fill="E1DFDD"/>
    </w:rPr>
  </w:style>
  <w:style w:type="paragraph" w:styleId="a9">
    <w:name w:val="Revision"/>
    <w:hidden/>
    <w:uiPriority w:val="99"/>
    <w:unhideWhenUsed/>
    <w:rsid w:val="00A53AFF"/>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4</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2024-05-28T16:00:00Z</dcterms:created>
  <dcterms:modified xsi:type="dcterms:W3CDTF">2024-05-28T16:00:00Z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D5FFF8AB9EB24E8F99BFE96A8EFC6432_13</vt:lpwstr>
  </property>
</Properties>
</file>