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DA" w:rsidRDefault="003A6337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诺安基金管理有限公司关于调整旗下部分基金在</w:t>
      </w:r>
      <w:r>
        <w:rPr>
          <w:rFonts w:ascii="宋体" w:hAnsi="宋体" w:hint="eastAsia"/>
          <w:b/>
          <w:sz w:val="24"/>
        </w:rPr>
        <w:t>直销渠道</w:t>
      </w:r>
      <w:r>
        <w:rPr>
          <w:rFonts w:ascii="宋体" w:hAnsi="宋体" w:hint="eastAsia"/>
          <w:b/>
          <w:sz w:val="24"/>
        </w:rPr>
        <w:t>的申购起点金额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最小追加申购金额</w:t>
      </w:r>
      <w:r>
        <w:rPr>
          <w:rFonts w:ascii="宋体" w:hAnsi="宋体" w:hint="eastAsia"/>
          <w:b/>
          <w:sz w:val="24"/>
        </w:rPr>
        <w:t>及最低赎回份额</w:t>
      </w:r>
      <w:r>
        <w:rPr>
          <w:rFonts w:ascii="宋体" w:hAnsi="宋体" w:hint="eastAsia"/>
          <w:b/>
          <w:sz w:val="24"/>
        </w:rPr>
        <w:t>的公告</w:t>
      </w:r>
    </w:p>
    <w:p w:rsidR="00EF3BDA" w:rsidRDefault="00EF3BDA">
      <w:pPr>
        <w:jc w:val="left"/>
        <w:rPr>
          <w:rFonts w:ascii="宋体" w:hAnsi="宋体"/>
          <w:b/>
          <w:sz w:val="24"/>
        </w:rPr>
      </w:pPr>
    </w:p>
    <w:p w:rsidR="00EF3BDA" w:rsidRDefault="003A6337">
      <w:pPr>
        <w:ind w:firstLineChars="202" w:firstLine="424"/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为</w:t>
      </w:r>
      <w:r>
        <w:rPr>
          <w:rFonts w:ascii="宋体" w:eastAsia="宋体" w:hAnsi="宋体" w:cs="Times New Roman" w:hint="eastAsia"/>
          <w:color w:val="000000"/>
          <w:szCs w:val="21"/>
        </w:rPr>
        <w:t>更好地</w:t>
      </w:r>
      <w:r>
        <w:rPr>
          <w:rFonts w:ascii="宋体" w:eastAsia="宋体" w:hAnsi="宋体" w:cs="Times New Roman" w:hint="eastAsia"/>
          <w:color w:val="000000"/>
          <w:szCs w:val="21"/>
        </w:rPr>
        <w:t>满足投资者的理财需求，诺安基金管理有限公司（以下简称“本公司”）决定自</w:t>
      </w:r>
      <w:r>
        <w:rPr>
          <w:rFonts w:ascii="宋体" w:eastAsia="宋体" w:hAnsi="宋体" w:cs="Times New Roman" w:hint="eastAsia"/>
          <w:color w:val="000000"/>
          <w:szCs w:val="21"/>
        </w:rPr>
        <w:t>202</w:t>
      </w:r>
      <w:r>
        <w:rPr>
          <w:rFonts w:ascii="宋体" w:eastAsia="宋体" w:hAnsi="宋体" w:cs="Times New Roman" w:hint="eastAsia"/>
          <w:color w:val="000000"/>
          <w:szCs w:val="21"/>
        </w:rPr>
        <w:t>4</w:t>
      </w:r>
      <w:r>
        <w:rPr>
          <w:rFonts w:ascii="宋体" w:eastAsia="宋体" w:hAnsi="宋体" w:cs="Times New Roman" w:hint="eastAsia"/>
          <w:color w:val="000000"/>
          <w:szCs w:val="21"/>
        </w:rPr>
        <w:t>年</w:t>
      </w:r>
      <w:r>
        <w:rPr>
          <w:rFonts w:ascii="宋体" w:eastAsia="宋体" w:hAnsi="宋体" w:cs="Times New Roman" w:hint="eastAsia"/>
          <w:color w:val="000000"/>
          <w:szCs w:val="21"/>
        </w:rPr>
        <w:t>5</w:t>
      </w:r>
      <w:r>
        <w:rPr>
          <w:rFonts w:ascii="宋体" w:eastAsia="宋体" w:hAnsi="宋体" w:cs="Times New Roman" w:hint="eastAsia"/>
          <w:color w:val="000000"/>
          <w:szCs w:val="21"/>
        </w:rPr>
        <w:t>月</w:t>
      </w:r>
      <w:r>
        <w:rPr>
          <w:rFonts w:ascii="宋体" w:eastAsia="宋体" w:hAnsi="宋体" w:cs="Times New Roman" w:hint="eastAsia"/>
          <w:color w:val="000000"/>
          <w:szCs w:val="21"/>
        </w:rPr>
        <w:t>27</w:t>
      </w:r>
      <w:r>
        <w:rPr>
          <w:rFonts w:ascii="宋体" w:eastAsia="宋体" w:hAnsi="宋体" w:cs="Times New Roman" w:hint="eastAsia"/>
          <w:color w:val="000000"/>
          <w:szCs w:val="21"/>
        </w:rPr>
        <w:t>日</w:t>
      </w:r>
      <w:r>
        <w:rPr>
          <w:rFonts w:ascii="宋体" w:eastAsia="宋体" w:hAnsi="宋体" w:cs="Times New Roman" w:hint="eastAsia"/>
          <w:color w:val="000000"/>
          <w:szCs w:val="21"/>
        </w:rPr>
        <w:t>起，调整以下基金在</w:t>
      </w:r>
      <w:r>
        <w:rPr>
          <w:rFonts w:ascii="宋体" w:eastAsia="宋体" w:hAnsi="宋体" w:cs="Times New Roman" w:hint="eastAsia"/>
          <w:color w:val="000000"/>
          <w:szCs w:val="21"/>
        </w:rPr>
        <w:t>直销</w:t>
      </w:r>
      <w:r>
        <w:rPr>
          <w:rFonts w:ascii="宋体" w:eastAsia="宋体" w:hAnsi="宋体" w:cs="Times New Roman" w:hint="eastAsia"/>
          <w:color w:val="000000"/>
          <w:szCs w:val="21"/>
        </w:rPr>
        <w:t>渠道的申购（含定投申购）起点金额</w:t>
      </w:r>
      <w:r>
        <w:rPr>
          <w:rFonts w:ascii="宋体" w:eastAsia="宋体" w:hAnsi="宋体" w:cs="Times New Roman" w:hint="eastAsia"/>
          <w:color w:val="000000"/>
          <w:szCs w:val="21"/>
        </w:rPr>
        <w:t>、</w:t>
      </w:r>
      <w:r>
        <w:rPr>
          <w:rFonts w:ascii="宋体" w:eastAsia="宋体" w:hAnsi="宋体" w:cs="Times New Roman" w:hint="eastAsia"/>
          <w:color w:val="000000"/>
          <w:szCs w:val="21"/>
        </w:rPr>
        <w:t>最小追加申购金额</w:t>
      </w:r>
      <w:r>
        <w:rPr>
          <w:rFonts w:ascii="宋体" w:eastAsia="宋体" w:hAnsi="宋体" w:cs="Times New Roman" w:hint="eastAsia"/>
          <w:color w:val="000000"/>
          <w:szCs w:val="21"/>
        </w:rPr>
        <w:t>及最低赎回份额</w:t>
      </w:r>
      <w:r>
        <w:rPr>
          <w:rFonts w:ascii="宋体" w:eastAsia="宋体" w:hAnsi="宋体" w:cs="Times New Roman" w:hint="eastAsia"/>
          <w:color w:val="000000"/>
          <w:szCs w:val="21"/>
        </w:rPr>
        <w:t>。具体内容如下：</w:t>
      </w:r>
    </w:p>
    <w:p w:rsidR="00EF3BDA" w:rsidRDefault="003A6337">
      <w:pPr>
        <w:ind w:firstLineChars="202" w:firstLine="426"/>
        <w:jc w:val="left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一、适用基金</w:t>
      </w:r>
    </w:p>
    <w:tbl>
      <w:tblPr>
        <w:tblStyle w:val="a6"/>
        <w:tblW w:w="0" w:type="auto"/>
        <w:jc w:val="center"/>
        <w:tblLook w:val="04A0"/>
      </w:tblPr>
      <w:tblGrid>
        <w:gridCol w:w="959"/>
        <w:gridCol w:w="5007"/>
        <w:gridCol w:w="1513"/>
      </w:tblGrid>
      <w:tr w:rsidR="00EF3BDA">
        <w:trPr>
          <w:tblHeader/>
          <w:jc w:val="center"/>
        </w:trPr>
        <w:tc>
          <w:tcPr>
            <w:tcW w:w="959" w:type="dxa"/>
          </w:tcPr>
          <w:p w:rsidR="00EF3BDA" w:rsidRDefault="003A633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5007" w:type="dxa"/>
          </w:tcPr>
          <w:p w:rsidR="00EF3BDA" w:rsidRDefault="003A633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基金名称</w:t>
            </w:r>
          </w:p>
        </w:tc>
        <w:tc>
          <w:tcPr>
            <w:tcW w:w="1513" w:type="dxa"/>
          </w:tcPr>
          <w:p w:rsidR="00EF3BDA" w:rsidRDefault="003A633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基金代码</w:t>
            </w:r>
          </w:p>
        </w:tc>
      </w:tr>
      <w:tr w:rsidR="00EF3BDA">
        <w:trPr>
          <w:trHeight w:val="90"/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EF3BDA" w:rsidRDefault="003A633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诺安平衡证券投资基金</w:t>
            </w:r>
          </w:p>
        </w:tc>
        <w:tc>
          <w:tcPr>
            <w:tcW w:w="1513" w:type="dxa"/>
          </w:tcPr>
          <w:p w:rsidR="00EF3BDA" w:rsidRDefault="003A6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320001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诺安先锋混合型证券投资基金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320003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诺安先锋混合型证券投资基金</w:t>
            </w:r>
            <w: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012621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诺安优化收益债券型证券投资基金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320004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诺安价值增长混合型证券投资基金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320005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诺安灵活配置混合型证券投资基金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320006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诺安成长混合型证券投资基金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320007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诺安增利债券型证券投资基金</w:t>
            </w:r>
            <w: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320008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诺安增利债券型证券投资基金</w:t>
            </w:r>
            <w:r>
              <w:t>B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320009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诺安中证</w:t>
            </w:r>
            <w:r>
              <w:t>100</w:t>
            </w:r>
            <w:r>
              <w:rPr>
                <w:rFonts w:hint="eastAsia"/>
              </w:rPr>
              <w:t>指数证券投资基金</w:t>
            </w:r>
            <w: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320010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诺安中证</w:t>
            </w:r>
            <w:r>
              <w:t>100</w:t>
            </w:r>
            <w:r>
              <w:rPr>
                <w:rFonts w:hint="eastAsia"/>
              </w:rPr>
              <w:t>指数证券投资基金</w:t>
            </w:r>
            <w: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010</w:t>
            </w:r>
            <w:r>
              <w:rPr>
                <w:rFonts w:hint="eastAsia"/>
              </w:rPr>
              <w:t>351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诺安中小盘精选混合型证券投资基金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诺安中小盘精选混合型证券投资基金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020648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诺安中小盘精选混合型证券投资基金</w:t>
            </w:r>
            <w:r>
              <w:rPr>
                <w:rFonts w:hint="eastAsia"/>
              </w:rPr>
              <w:t>D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020649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诺安主题精选混合型证券投资基金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320012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诺安全球黄金证券投资基金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320013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诺安沪深</w:t>
            </w:r>
            <w:r>
              <w:t>300</w:t>
            </w:r>
            <w:r>
              <w:rPr>
                <w:rFonts w:hint="eastAsia"/>
              </w:rPr>
              <w:t>指数增强型证券投资基金</w:t>
            </w:r>
            <w: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320014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诺安沪深</w:t>
            </w:r>
            <w:r>
              <w:t>300</w:t>
            </w:r>
            <w:r>
              <w:rPr>
                <w:rFonts w:hint="eastAsia"/>
              </w:rPr>
              <w:t>指数增强型证券投资基金</w:t>
            </w:r>
            <w: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010352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诺安沪深</w:t>
            </w:r>
            <w:r>
              <w:t>300</w:t>
            </w:r>
            <w:r>
              <w:rPr>
                <w:rFonts w:hint="eastAsia"/>
              </w:rPr>
              <w:t>指数增强型证券投资基金</w:t>
            </w:r>
            <w:r>
              <w:rPr>
                <w:rFonts w:hint="eastAsia"/>
              </w:rPr>
              <w:t>D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020647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诺安行业轮动混合型证券投资基金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320015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诺安行业轮动混合型证券投资基金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019570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诺安多策略混合型证券投资基金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诺安全球收益不动产证券投资基金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诺安油气能源股票证券投资基金（</w:t>
            </w:r>
            <w:r>
              <w:rPr>
                <w:rFonts w:hint="eastAsia"/>
              </w:rPr>
              <w:t>LOF</w:t>
            </w:r>
            <w:r>
              <w:rPr>
                <w:rFonts w:hint="eastAsia"/>
              </w:rPr>
              <w:t>）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163208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诺安新动力灵活配置混合型证券投资基金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320018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诺安新动力灵活配置混合型证券投资基金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014551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诺安创业板指数增强型证券投资基金（</w:t>
            </w:r>
            <w:r>
              <w:t>LOF</w:t>
            </w:r>
            <w:r>
              <w:rPr>
                <w:rFonts w:hint="eastAsia"/>
              </w:rPr>
              <w:t>）</w:t>
            </w:r>
            <w: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163209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诺安创业板指数增强型证券投资基金（</w:t>
            </w:r>
            <w:r>
              <w:t>LOF</w:t>
            </w:r>
            <w:r>
              <w:rPr>
                <w:rFonts w:hint="eastAsia"/>
              </w:rPr>
              <w:t>）</w:t>
            </w:r>
            <w: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010356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诺安策略精选股票型证券投资基金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320020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诺安双利债券型发起式证券投资基金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320021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诺安研究精选股票型证券投资基金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320022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诺安鸿鑫混合型证券投资基金</w:t>
            </w:r>
            <w: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000066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诺安鸿鑫混合型证券投资基金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014498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诺安稳固收益一年定期开放债券型证券投资基金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000235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诺安稳固收益一年定期开放债券型证券投资基金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020797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诺安泰鑫一年定期开放债券型证券投资基金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000201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诺安泰鑫一年定期开放债券型证券投资基金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001964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诺安泰鑫一年定期开放债券型证券投资基金</w:t>
            </w:r>
            <w:r>
              <w:rPr>
                <w:rFonts w:hint="eastAsia"/>
              </w:rPr>
              <w:t>D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020796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诺安优势行业灵活配置混合型证券投资基金</w:t>
            </w:r>
            <w: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000538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诺安优势行业灵活配置混合型证券投资基金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002053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诺安稳健回报灵活配置混合型证券投资基金</w:t>
            </w:r>
            <w: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000714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诺安稳健回报灵活配置混合型证券投资基金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002052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诺安聚利债券型证券投资基金</w:t>
            </w:r>
            <w: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000736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诺安聚利债券型证券投资基金</w:t>
            </w:r>
            <w: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000737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诺安新经济股票型证券投资基金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000971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诺安低碳经济股票型证券投资基金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001208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诺安低碳经济股票型证券投资基金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010349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指数增强型证券投资基金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001351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指数增强型证券投资基金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010355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诺安创新驱动灵活配置混合型证券投资基金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001411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诺安创新驱动灵活配置混合型证券投资基金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002051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诺安先进制造股票型证券投资基金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001528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诺安先进制造股票型证券投资基金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019607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诺安利鑫灵活配置混合型证券投资基金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002137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诺安利鑫灵活配置混合型证券投资基金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014521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诺安景鑫灵活配置混合型证券投资基金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002145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诺安益鑫灵活配置混合型证券投资基金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002292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诺安益鑫灵活配置混合型证券投资基金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014550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诺安安鑫灵活配置混合型证券投资基金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002291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诺安精选回报灵活配置混合型证券投资基金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002067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诺安和鑫灵活配置混合型证券投资基金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002560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诺安优选回报灵活配置混合型证券投资基金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001743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诺安积极回报灵活配置混合型证券投资基金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001706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诺安积极回报灵活配置混合型证券投资基金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012847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诺安进取回报灵活配置混合型证券投资基金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001744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诺安高端制造股票型证券投资基金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001707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诺安高端制造股票型证券投资基金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014536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诺安改革趋势灵活配置混合型证券投资基金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001780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诺安联创顺鑫债券型证券投资基金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005448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诺安联创顺鑫债券型证券投资基金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005480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诺安汇利灵活配置混合型证券投资基金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005901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诺安汇利灵活配置混合型证券投资基金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005902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诺安积极配置混合型证券投资基金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006007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诺安积极配置混合型证券投资基金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006008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诺安优化配置混合型证券投资基金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006025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诺安优化配置混合型证券投资基金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019571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诺安精选价值混合型证券投资基金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001900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诺安鼎利混合型证券投资基金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006005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诺安鼎利混合型证券投资基金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006006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诺安恒鑫混合型证券投资基金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006429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诺安新兴产业混合型证券投资基金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008328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诺安研究优选混合型证券投资基金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t>008185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诺安研究优选混合型证券投资基金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014497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诺安均衡优选一年持有期混合型证券投资基金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016454</w:t>
            </w:r>
          </w:p>
        </w:tc>
      </w:tr>
      <w:tr w:rsidR="00EF3BDA">
        <w:trPr>
          <w:jc w:val="center"/>
        </w:trPr>
        <w:tc>
          <w:tcPr>
            <w:tcW w:w="959" w:type="dxa"/>
          </w:tcPr>
          <w:p w:rsidR="00EF3BDA" w:rsidRDefault="00EF3BD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  <w:vAlign w:val="center"/>
          </w:tcPr>
          <w:p w:rsidR="00EF3BDA" w:rsidRDefault="003A6337">
            <w:r>
              <w:rPr>
                <w:rFonts w:hint="eastAsia"/>
              </w:rPr>
              <w:t>诺安均衡优选一年持有期混合型证券投资基金</w:t>
            </w:r>
            <w:r>
              <w:rPr>
                <w:rFonts w:hint="eastAsia"/>
              </w:rPr>
              <w:t>C</w:t>
            </w:r>
          </w:p>
        </w:tc>
        <w:tc>
          <w:tcPr>
            <w:tcW w:w="1513" w:type="dxa"/>
            <w:vAlign w:val="center"/>
          </w:tcPr>
          <w:p w:rsidR="00EF3BDA" w:rsidRDefault="003A6337">
            <w:pPr>
              <w:jc w:val="center"/>
            </w:pPr>
            <w:r>
              <w:rPr>
                <w:rFonts w:hint="eastAsia"/>
              </w:rPr>
              <w:t>016455</w:t>
            </w:r>
          </w:p>
        </w:tc>
      </w:tr>
    </w:tbl>
    <w:p w:rsidR="00EF3BDA" w:rsidRDefault="003A6337">
      <w:pPr>
        <w:ind w:firstLineChars="200" w:firstLine="422"/>
        <w:jc w:val="left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二、调整内容</w:t>
      </w:r>
    </w:p>
    <w:p w:rsidR="00EF3BDA" w:rsidRDefault="003A6337">
      <w:pPr>
        <w:ind w:firstLineChars="202" w:firstLine="424"/>
        <w:jc w:val="left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  <w:color w:val="000000"/>
          <w:szCs w:val="21"/>
        </w:rPr>
        <w:t>自</w:t>
      </w:r>
      <w:r>
        <w:rPr>
          <w:rFonts w:ascii="宋体" w:eastAsia="宋体" w:hAnsi="宋体" w:cs="Times New Roman" w:hint="eastAsia"/>
          <w:color w:val="000000"/>
          <w:szCs w:val="21"/>
        </w:rPr>
        <w:t>202</w:t>
      </w:r>
      <w:r>
        <w:rPr>
          <w:rFonts w:ascii="宋体" w:eastAsia="宋体" w:hAnsi="宋体" w:cs="Times New Roman" w:hint="eastAsia"/>
          <w:color w:val="000000"/>
          <w:szCs w:val="21"/>
        </w:rPr>
        <w:t>4</w:t>
      </w:r>
      <w:r>
        <w:rPr>
          <w:rFonts w:ascii="宋体" w:eastAsia="宋体" w:hAnsi="宋体" w:cs="Times New Roman" w:hint="eastAsia"/>
          <w:color w:val="000000"/>
          <w:szCs w:val="21"/>
        </w:rPr>
        <w:t>年</w:t>
      </w:r>
      <w:r>
        <w:rPr>
          <w:rFonts w:ascii="宋体" w:eastAsia="宋体" w:hAnsi="宋体" w:cs="Times New Roman" w:hint="eastAsia"/>
          <w:color w:val="000000"/>
          <w:szCs w:val="21"/>
        </w:rPr>
        <w:t>5</w:t>
      </w:r>
      <w:r>
        <w:rPr>
          <w:rFonts w:ascii="宋体" w:eastAsia="宋体" w:hAnsi="宋体" w:cs="Times New Roman" w:hint="eastAsia"/>
          <w:color w:val="000000"/>
          <w:szCs w:val="21"/>
        </w:rPr>
        <w:t>月</w:t>
      </w:r>
      <w:r>
        <w:rPr>
          <w:rFonts w:ascii="宋体" w:eastAsia="宋体" w:hAnsi="宋体" w:cs="Times New Roman" w:hint="eastAsia"/>
          <w:color w:val="000000"/>
          <w:szCs w:val="21"/>
        </w:rPr>
        <w:t>27</w:t>
      </w:r>
      <w:r>
        <w:rPr>
          <w:rFonts w:ascii="宋体" w:eastAsia="宋体" w:hAnsi="宋体" w:cs="Times New Roman" w:hint="eastAsia"/>
          <w:color w:val="000000"/>
          <w:szCs w:val="21"/>
        </w:rPr>
        <w:t>日起</w:t>
      </w:r>
      <w:r>
        <w:rPr>
          <w:rFonts w:ascii="宋体" w:eastAsia="宋体" w:hAnsi="宋体" w:cs="Times New Roman" w:hint="eastAsia"/>
          <w:color w:val="000000"/>
          <w:szCs w:val="21"/>
        </w:rPr>
        <w:t>，投资者通过</w:t>
      </w:r>
      <w:r>
        <w:rPr>
          <w:rFonts w:ascii="宋体" w:eastAsia="宋体" w:hAnsi="宋体" w:cs="Times New Roman" w:hint="eastAsia"/>
          <w:color w:val="000000"/>
          <w:szCs w:val="21"/>
        </w:rPr>
        <w:t>本</w:t>
      </w:r>
      <w:r>
        <w:rPr>
          <w:rFonts w:ascii="宋体" w:eastAsia="宋体" w:hAnsi="宋体" w:cs="Times New Roman" w:hint="eastAsia"/>
          <w:color w:val="000000"/>
          <w:szCs w:val="21"/>
        </w:rPr>
        <w:t>公司</w:t>
      </w:r>
      <w:r>
        <w:rPr>
          <w:rFonts w:ascii="宋体" w:eastAsia="宋体" w:hAnsi="宋体" w:cs="Times New Roman" w:hint="eastAsia"/>
          <w:color w:val="000000"/>
          <w:szCs w:val="21"/>
        </w:rPr>
        <w:t>直销渠道（包括直销柜台、直销网上交易系统）</w:t>
      </w:r>
      <w:r>
        <w:rPr>
          <w:rFonts w:ascii="宋体" w:eastAsia="宋体" w:hAnsi="宋体" w:cs="Times New Roman" w:hint="eastAsia"/>
          <w:color w:val="000000"/>
          <w:szCs w:val="21"/>
        </w:rPr>
        <w:t>办理上述基金的申购</w:t>
      </w:r>
      <w:r>
        <w:rPr>
          <w:rFonts w:ascii="Times New Roman" w:hAnsi="Times New Roman" w:cs="Times New Roman" w:hint="eastAsia"/>
        </w:rPr>
        <w:t>（含定投申购）业务，单笔申购（含定投申购）业务的起点金额调整为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元（含申购费），</w:t>
      </w:r>
      <w:r>
        <w:rPr>
          <w:rFonts w:ascii="宋体" w:eastAsia="宋体" w:hAnsi="宋体" w:cs="Times New Roman" w:hint="eastAsia"/>
          <w:color w:val="000000"/>
          <w:szCs w:val="21"/>
        </w:rPr>
        <w:t>最小</w:t>
      </w:r>
      <w:r>
        <w:rPr>
          <w:rFonts w:ascii="Times New Roman" w:hAnsi="Times New Roman" w:cs="Times New Roman" w:hint="eastAsia"/>
        </w:rPr>
        <w:t>追加申购金额调整为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元（含申购费）。</w:t>
      </w:r>
    </w:p>
    <w:p w:rsidR="00EF3BDA" w:rsidRDefault="003A6337">
      <w:pPr>
        <w:ind w:firstLineChars="202" w:firstLine="424"/>
        <w:jc w:val="left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  <w:color w:val="000000"/>
          <w:szCs w:val="21"/>
        </w:rPr>
        <w:t>自</w:t>
      </w:r>
      <w:r>
        <w:rPr>
          <w:rFonts w:ascii="宋体" w:eastAsia="宋体" w:hAnsi="宋体" w:cs="Times New Roman" w:hint="eastAsia"/>
          <w:color w:val="000000"/>
          <w:szCs w:val="21"/>
        </w:rPr>
        <w:t>202</w:t>
      </w:r>
      <w:r>
        <w:rPr>
          <w:rFonts w:ascii="宋体" w:eastAsia="宋体" w:hAnsi="宋体" w:cs="Times New Roman" w:hint="eastAsia"/>
          <w:color w:val="000000"/>
          <w:szCs w:val="21"/>
        </w:rPr>
        <w:t>4</w:t>
      </w:r>
      <w:r>
        <w:rPr>
          <w:rFonts w:ascii="宋体" w:eastAsia="宋体" w:hAnsi="宋体" w:cs="Times New Roman" w:hint="eastAsia"/>
          <w:color w:val="000000"/>
          <w:szCs w:val="21"/>
        </w:rPr>
        <w:t>年</w:t>
      </w:r>
      <w:r>
        <w:rPr>
          <w:rFonts w:ascii="宋体" w:eastAsia="宋体" w:hAnsi="宋体" w:cs="Times New Roman" w:hint="eastAsia"/>
          <w:color w:val="000000"/>
          <w:szCs w:val="21"/>
        </w:rPr>
        <w:t>5</w:t>
      </w:r>
      <w:r>
        <w:rPr>
          <w:rFonts w:ascii="宋体" w:eastAsia="宋体" w:hAnsi="宋体" w:cs="Times New Roman" w:hint="eastAsia"/>
          <w:color w:val="000000"/>
          <w:szCs w:val="21"/>
        </w:rPr>
        <w:t>月</w:t>
      </w:r>
      <w:r>
        <w:rPr>
          <w:rFonts w:ascii="宋体" w:eastAsia="宋体" w:hAnsi="宋体" w:cs="Times New Roman" w:hint="eastAsia"/>
          <w:color w:val="000000"/>
          <w:szCs w:val="21"/>
        </w:rPr>
        <w:t>27</w:t>
      </w:r>
      <w:r>
        <w:rPr>
          <w:rFonts w:ascii="宋体" w:eastAsia="宋体" w:hAnsi="宋体" w:cs="Times New Roman" w:hint="eastAsia"/>
          <w:color w:val="000000"/>
          <w:szCs w:val="21"/>
        </w:rPr>
        <w:t>日起</w:t>
      </w:r>
      <w:r>
        <w:rPr>
          <w:rFonts w:ascii="宋体" w:eastAsia="宋体" w:hAnsi="宋体" w:cs="Times New Roman" w:hint="eastAsia"/>
          <w:color w:val="000000"/>
          <w:szCs w:val="21"/>
        </w:rPr>
        <w:t>，投资者通过</w:t>
      </w:r>
      <w:r>
        <w:rPr>
          <w:rFonts w:ascii="宋体" w:eastAsia="宋体" w:hAnsi="宋体" w:cs="Times New Roman" w:hint="eastAsia"/>
          <w:color w:val="000000"/>
          <w:szCs w:val="21"/>
        </w:rPr>
        <w:t>本</w:t>
      </w:r>
      <w:r>
        <w:rPr>
          <w:rFonts w:ascii="宋体" w:eastAsia="宋体" w:hAnsi="宋体" w:cs="Times New Roman" w:hint="eastAsia"/>
          <w:color w:val="000000"/>
          <w:szCs w:val="21"/>
        </w:rPr>
        <w:t>公司</w:t>
      </w:r>
      <w:r>
        <w:rPr>
          <w:rFonts w:ascii="宋体" w:eastAsia="宋体" w:hAnsi="宋体" w:cs="Times New Roman" w:hint="eastAsia"/>
          <w:color w:val="000000"/>
          <w:szCs w:val="21"/>
        </w:rPr>
        <w:t>直销渠道（包括直销柜台、直销网上交易系统）</w:t>
      </w:r>
      <w:r>
        <w:rPr>
          <w:rFonts w:ascii="宋体" w:eastAsia="宋体" w:hAnsi="宋体" w:cs="Times New Roman" w:hint="eastAsia"/>
          <w:color w:val="000000"/>
          <w:szCs w:val="21"/>
        </w:rPr>
        <w:t>赎回</w:t>
      </w:r>
      <w:r>
        <w:rPr>
          <w:rFonts w:ascii="宋体" w:eastAsia="宋体" w:hAnsi="宋体" w:cs="Times New Roman" w:hint="eastAsia"/>
          <w:color w:val="000000"/>
          <w:szCs w:val="21"/>
        </w:rPr>
        <w:t>上述基金</w:t>
      </w:r>
      <w:r>
        <w:rPr>
          <w:rFonts w:ascii="宋体" w:eastAsia="宋体" w:hAnsi="宋体" w:cs="Times New Roman" w:hint="eastAsia"/>
          <w:color w:val="000000"/>
          <w:szCs w:val="21"/>
        </w:rPr>
        <w:t>时，可以申请将其持有的部分或全部基金份额赎回，</w:t>
      </w:r>
      <w:r>
        <w:rPr>
          <w:rFonts w:ascii="宋体" w:eastAsia="宋体" w:hAnsi="宋体" w:cs="Times New Roman" w:hint="eastAsia"/>
          <w:color w:val="000000"/>
          <w:szCs w:val="21"/>
        </w:rPr>
        <w:t>其中</w:t>
      </w:r>
      <w:r>
        <w:rPr>
          <w:rFonts w:ascii="Times New Roman" w:hAnsi="Times New Roman" w:cs="Times New Roman" w:hint="eastAsia"/>
        </w:rPr>
        <w:t>单笔赎回的最低份额为</w:t>
      </w:r>
      <w:r>
        <w:rPr>
          <w:rFonts w:ascii="Times New Roman" w:hAnsi="Times New Roman" w:cs="Times New Roman" w:hint="eastAsia"/>
        </w:rPr>
        <w:t>0.01</w:t>
      </w:r>
      <w:r>
        <w:rPr>
          <w:rFonts w:ascii="Times New Roman" w:hAnsi="Times New Roman" w:cs="Times New Roman" w:hint="eastAsia"/>
        </w:rPr>
        <w:t>份基金份额。</w:t>
      </w:r>
    </w:p>
    <w:p w:rsidR="00EF3BDA" w:rsidRDefault="003A6337">
      <w:pPr>
        <w:ind w:firstLineChars="202" w:firstLine="424"/>
        <w:jc w:val="left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  <w:color w:val="000000"/>
          <w:szCs w:val="21"/>
        </w:rPr>
        <w:t>如以上各业务最低限额与未来相关法律法规存在不一致的，以最新的法律法规的规定为准</w:t>
      </w:r>
      <w:r>
        <w:rPr>
          <w:rFonts w:ascii="宋体" w:eastAsia="宋体" w:hAnsi="宋体" w:cs="Times New Roman" w:hint="eastAsia"/>
          <w:color w:val="000000"/>
          <w:szCs w:val="21"/>
        </w:rPr>
        <w:t>。</w:t>
      </w:r>
    </w:p>
    <w:p w:rsidR="00EF3BDA" w:rsidRDefault="00EF3BDA">
      <w:pPr>
        <w:ind w:firstLineChars="202" w:firstLine="424"/>
        <w:jc w:val="left"/>
        <w:rPr>
          <w:rFonts w:ascii="宋体" w:eastAsia="宋体" w:hAnsi="宋体" w:cs="Times New Roman"/>
          <w:color w:val="000000"/>
          <w:szCs w:val="21"/>
        </w:rPr>
      </w:pPr>
    </w:p>
    <w:p w:rsidR="00EF3BDA" w:rsidRDefault="003A6337">
      <w:pPr>
        <w:ind w:firstLineChars="202" w:firstLine="426"/>
        <w:rPr>
          <w:b/>
        </w:rPr>
      </w:pPr>
      <w:r>
        <w:rPr>
          <w:rFonts w:hint="eastAsia"/>
          <w:b/>
        </w:rPr>
        <w:t>重要提示：</w:t>
      </w:r>
    </w:p>
    <w:p w:rsidR="00EF3BDA" w:rsidRDefault="003A6337">
      <w:pPr>
        <w:numPr>
          <w:ilvl w:val="0"/>
          <w:numId w:val="2"/>
        </w:numPr>
        <w:ind w:firstLineChars="202" w:firstLine="424"/>
        <w:rPr>
          <w:szCs w:val="21"/>
        </w:rPr>
      </w:pPr>
      <w:r>
        <w:rPr>
          <w:rFonts w:hint="eastAsia"/>
        </w:rPr>
        <w:t>诺安稳固收益一年定期开放债券型证券投资基金</w:t>
      </w:r>
      <w:r>
        <w:rPr>
          <w:rFonts w:hint="eastAsia"/>
        </w:rPr>
        <w:t>、</w:t>
      </w:r>
      <w:r>
        <w:rPr>
          <w:rFonts w:hint="eastAsia"/>
        </w:rPr>
        <w:t>诺安泰鑫一年定期开放债券型证券投资基金为定期开放式基金</w:t>
      </w:r>
      <w:r>
        <w:rPr>
          <w:rFonts w:hint="eastAsia"/>
        </w:rPr>
        <w:t>，</w:t>
      </w:r>
      <w:r>
        <w:rPr>
          <w:rFonts w:hint="eastAsia"/>
        </w:rPr>
        <w:t>未开通定投业务；</w:t>
      </w:r>
      <w:r>
        <w:rPr>
          <w:rFonts w:hint="eastAsia"/>
        </w:rPr>
        <w:t xml:space="preserve">2 </w:t>
      </w:r>
      <w:r>
        <w:rPr>
          <w:rFonts w:hint="eastAsia"/>
        </w:rPr>
        <w:t>只基金封闭期内不接受申购、赎回等业务申请，开放办理申购、赎回等业务的具体时间详见基金管理人披露的相关公告。</w:t>
      </w:r>
    </w:p>
    <w:p w:rsidR="00EF3BDA" w:rsidRDefault="003A6337">
      <w:pPr>
        <w:numPr>
          <w:ilvl w:val="0"/>
          <w:numId w:val="2"/>
        </w:numPr>
        <w:ind w:firstLineChars="202" w:firstLine="424"/>
        <w:rPr>
          <w:szCs w:val="21"/>
        </w:rPr>
      </w:pPr>
      <w:r>
        <w:rPr>
          <w:rFonts w:hint="eastAsia"/>
        </w:rPr>
        <w:t>诺安泰鑫一年定期开放债券型证券投资基金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诺安联创顺鑫债券型证券投资基金</w:t>
      </w:r>
      <w:r>
        <w:rPr>
          <w:rFonts w:hint="eastAsia"/>
        </w:rPr>
        <w:t>C</w:t>
      </w:r>
      <w:r>
        <w:rPr>
          <w:rFonts w:hint="eastAsia"/>
        </w:rPr>
        <w:t>暂未在</w:t>
      </w:r>
      <w:r>
        <w:rPr>
          <w:rFonts w:ascii="宋体" w:eastAsia="宋体" w:hAnsi="宋体" w:cs="Times New Roman" w:hint="eastAsia"/>
          <w:color w:val="000000"/>
          <w:szCs w:val="21"/>
        </w:rPr>
        <w:t>公司</w:t>
      </w:r>
      <w:r>
        <w:rPr>
          <w:rFonts w:ascii="宋体" w:eastAsia="宋体" w:hAnsi="宋体" w:cs="Times New Roman" w:hint="eastAsia"/>
          <w:color w:val="000000"/>
          <w:szCs w:val="21"/>
        </w:rPr>
        <w:t>直销柜台销售，相关业务规则如有变动，敬请投资者留意</w:t>
      </w:r>
      <w:r>
        <w:rPr>
          <w:rFonts w:hint="eastAsia"/>
        </w:rPr>
        <w:t>基金管理人届时披露的相关公告</w:t>
      </w:r>
      <w:r>
        <w:rPr>
          <w:rFonts w:ascii="宋体" w:eastAsia="宋体" w:hAnsi="宋体" w:cs="Times New Roman" w:hint="eastAsia"/>
          <w:color w:val="000000"/>
          <w:szCs w:val="21"/>
        </w:rPr>
        <w:t>、通知。</w:t>
      </w:r>
    </w:p>
    <w:p w:rsidR="00EF3BDA" w:rsidRDefault="003A6337">
      <w:pPr>
        <w:numPr>
          <w:ilvl w:val="0"/>
          <w:numId w:val="2"/>
        </w:numPr>
        <w:ind w:firstLineChars="202" w:firstLine="424"/>
        <w:rPr>
          <w:szCs w:val="21"/>
        </w:rPr>
      </w:pPr>
      <w:r>
        <w:rPr>
          <w:rFonts w:hint="eastAsia"/>
          <w:szCs w:val="21"/>
        </w:rPr>
        <w:t>本次调整方案所涉及的基金招募书相关内容，</w:t>
      </w:r>
      <w:r>
        <w:rPr>
          <w:rFonts w:hint="eastAsia"/>
          <w:szCs w:val="21"/>
        </w:rPr>
        <w:t>本公司将在更新</w:t>
      </w:r>
      <w:r>
        <w:rPr>
          <w:rFonts w:hint="eastAsia"/>
          <w:szCs w:val="21"/>
        </w:rPr>
        <w:t>上述基金</w:t>
      </w:r>
      <w:r>
        <w:rPr>
          <w:rFonts w:hint="eastAsia"/>
          <w:szCs w:val="21"/>
        </w:rPr>
        <w:t>招募说明书时一并更新前述调整内容。</w:t>
      </w:r>
    </w:p>
    <w:p w:rsidR="00EF3BDA" w:rsidRDefault="003A6337">
      <w:pPr>
        <w:numPr>
          <w:ilvl w:val="0"/>
          <w:numId w:val="2"/>
        </w:numPr>
        <w:ind w:firstLineChars="202" w:firstLine="424"/>
        <w:rPr>
          <w:szCs w:val="21"/>
        </w:rPr>
      </w:pPr>
      <w:r>
        <w:rPr>
          <w:szCs w:val="21"/>
        </w:rPr>
        <w:t>本基金管理人承诺以诚实信用、勤勉尽责的原则管理和运用基金财产，但不保证基金一定盈利，也不保证最低收益。基金的过往业绩及其净值高低并不预示其未来业绩表现，基金管理人管理的其他基金的业绩并不构成</w:t>
      </w:r>
      <w:r>
        <w:rPr>
          <w:rFonts w:hint="eastAsia"/>
          <w:szCs w:val="21"/>
        </w:rPr>
        <w:t>某一</w:t>
      </w:r>
      <w:r>
        <w:rPr>
          <w:szCs w:val="21"/>
        </w:rPr>
        <w:t>基金业绩表现的保证。本基金管理人提醒投资者基金投资的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买者自负</w:t>
      </w:r>
      <w:r>
        <w:rPr>
          <w:rFonts w:asciiTheme="minorEastAsia" w:hAnsiTheme="minorEastAsia"/>
          <w:szCs w:val="21"/>
        </w:rPr>
        <w:t>”</w:t>
      </w:r>
      <w:r>
        <w:rPr>
          <w:szCs w:val="21"/>
        </w:rPr>
        <w:t>原则，在做出投资决策后，基金运营状况与基金净值变化引致的投资风险，由投资者自行负担。投资者投资于本基金管理人管理的基金时应仔细阅读基金合同、招募说明书、基金产品资料概要等产品法律文件及相关公告，充分认识本基金的风险收益特征和产品特性，认真考虑基金存在的各</w:t>
      </w:r>
      <w:r>
        <w:rPr>
          <w:szCs w:val="21"/>
        </w:rPr>
        <w:t>项风险因素，并根据自身的投资目的、投资期限、投资经验、资产状况等因素充分考虑自身的风险承受能力，在了解产品情况及销售适当性意见的基础上，理性判断并谨慎做出投资决策。</w:t>
      </w:r>
      <w:bookmarkStart w:id="0" w:name="_GoBack"/>
      <w:bookmarkEnd w:id="0"/>
    </w:p>
    <w:p w:rsidR="00EF3BDA" w:rsidRDefault="003A6337">
      <w:pPr>
        <w:numPr>
          <w:ilvl w:val="0"/>
          <w:numId w:val="2"/>
        </w:numPr>
        <w:ind w:firstLineChars="202" w:firstLine="424"/>
        <w:rPr>
          <w:szCs w:val="21"/>
        </w:rPr>
      </w:pPr>
      <w:r>
        <w:rPr>
          <w:rFonts w:hint="eastAsia"/>
          <w:szCs w:val="21"/>
        </w:rPr>
        <w:t>本公告的有关内容在法律法规允许范围内由本公司负责解释。</w:t>
      </w:r>
    </w:p>
    <w:p w:rsidR="00EF3BDA" w:rsidRDefault="00EF3BDA">
      <w:pPr>
        <w:ind w:firstLineChars="202" w:firstLine="424"/>
      </w:pPr>
    </w:p>
    <w:p w:rsidR="00EF3BDA" w:rsidRDefault="003A6337">
      <w:pPr>
        <w:ind w:firstLineChars="202" w:firstLine="426"/>
        <w:rPr>
          <w:b/>
        </w:rPr>
      </w:pPr>
      <w:r>
        <w:rPr>
          <w:rFonts w:hint="eastAsia"/>
          <w:b/>
        </w:rPr>
        <w:t>投资者可以通过以下途径咨询有关情况：</w:t>
      </w:r>
    </w:p>
    <w:p w:rsidR="00EF3BDA" w:rsidRDefault="003A633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诺安基金管理有限公司</w:t>
      </w:r>
    </w:p>
    <w:p w:rsidR="00EF3BDA" w:rsidRDefault="003A6337">
      <w:pPr>
        <w:ind w:firstLineChars="202" w:firstLine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客户服务电话：</w:t>
      </w:r>
      <w:r>
        <w:rPr>
          <w:rFonts w:asciiTheme="minorEastAsia" w:hAnsiTheme="minorEastAsia" w:hint="eastAsia"/>
          <w:szCs w:val="21"/>
        </w:rPr>
        <w:t>400-888-8998</w:t>
      </w:r>
    </w:p>
    <w:p w:rsidR="00EF3BDA" w:rsidRDefault="003A6337">
      <w:pPr>
        <w:ind w:firstLineChars="202" w:firstLine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网址：</w:t>
      </w:r>
      <w:r>
        <w:rPr>
          <w:rFonts w:asciiTheme="minorEastAsia" w:hAnsiTheme="minorEastAsia" w:hint="eastAsia"/>
          <w:szCs w:val="21"/>
        </w:rPr>
        <w:t>www.lionfund.com.cn</w:t>
      </w:r>
    </w:p>
    <w:p w:rsidR="00EF3BDA" w:rsidRDefault="00EF3BDA">
      <w:pPr>
        <w:ind w:firstLineChars="202" w:firstLine="424"/>
        <w:rPr>
          <w:rFonts w:asciiTheme="minorEastAsia" w:hAnsiTheme="minorEastAsia"/>
          <w:szCs w:val="21"/>
        </w:rPr>
      </w:pPr>
    </w:p>
    <w:p w:rsidR="00EF3BDA" w:rsidRDefault="003A6337">
      <w:pPr>
        <w:ind w:firstLineChars="202" w:firstLine="424"/>
      </w:pPr>
      <w:r>
        <w:rPr>
          <w:rFonts w:hint="eastAsia"/>
        </w:rPr>
        <w:t>特此公告。</w:t>
      </w:r>
    </w:p>
    <w:p w:rsidR="00EF3BDA" w:rsidRDefault="00EF3BDA"/>
    <w:p w:rsidR="00EF3BDA" w:rsidRDefault="003A6337">
      <w:pPr>
        <w:ind w:firstLineChars="202" w:firstLine="424"/>
        <w:jc w:val="right"/>
      </w:pPr>
      <w:r>
        <w:rPr>
          <w:rFonts w:hint="eastAsia"/>
        </w:rPr>
        <w:t>诺安基金管理有限公司</w:t>
      </w:r>
    </w:p>
    <w:p w:rsidR="00EF3BDA" w:rsidRDefault="003A6337">
      <w:pPr>
        <w:wordWrap w:val="0"/>
        <w:ind w:firstLineChars="202" w:firstLine="424"/>
        <w:jc w:val="right"/>
        <w:rPr>
          <w:rFonts w:ascii="宋体" w:hAnsi="宋体" w:cs="Times New Roman"/>
          <w:color w:val="000000"/>
          <w:szCs w:val="21"/>
        </w:rPr>
      </w:pPr>
      <w:r>
        <w:rPr>
          <w:rFonts w:hint="eastAsia"/>
        </w:rPr>
        <w:t>2</w:t>
      </w:r>
      <w:r>
        <w:t>02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sectPr w:rsidR="00EF3BDA" w:rsidSect="00EF3BD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DA" w:rsidRDefault="00EF3BDA" w:rsidP="00EF3BDA">
      <w:r>
        <w:separator/>
      </w:r>
    </w:p>
  </w:endnote>
  <w:endnote w:type="continuationSeparator" w:id="0">
    <w:p w:rsidR="00EF3BDA" w:rsidRDefault="00EF3BDA" w:rsidP="00EF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DA" w:rsidRDefault="00EF3BDA" w:rsidP="00EF3BDA">
      <w:r>
        <w:separator/>
      </w:r>
    </w:p>
  </w:footnote>
  <w:footnote w:type="continuationSeparator" w:id="0">
    <w:p w:rsidR="00EF3BDA" w:rsidRDefault="00EF3BDA" w:rsidP="00EF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DA" w:rsidRDefault="003A6337">
    <w:pPr>
      <w:pStyle w:val="a5"/>
      <w:jc w:val="left"/>
    </w:pPr>
    <w:r>
      <w:rPr>
        <w:noProof/>
      </w:rPr>
      <w:drawing>
        <wp:inline distT="0" distB="0" distL="0" distR="0">
          <wp:extent cx="1371600" cy="173990"/>
          <wp:effectExtent l="1905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74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6F819"/>
    <w:multiLevelType w:val="singleLevel"/>
    <w:tmpl w:val="9066F819"/>
    <w:lvl w:ilvl="0">
      <w:start w:val="1"/>
      <w:numFmt w:val="decimal"/>
      <w:suff w:val="nothing"/>
      <w:lvlText w:val="%1、"/>
      <w:lvlJc w:val="left"/>
    </w:lvl>
  </w:abstractNum>
  <w:abstractNum w:abstractNumId="1">
    <w:nsid w:val="742509C7"/>
    <w:multiLevelType w:val="multilevel"/>
    <w:tmpl w:val="742509C7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E0OGMzOGUyZTA1OTBmNWYyMjM3MzE3YjUxYzg1NjEifQ=="/>
  </w:docVars>
  <w:rsids>
    <w:rsidRoot w:val="001C59C0"/>
    <w:rsid w:val="000204CC"/>
    <w:rsid w:val="000264D5"/>
    <w:rsid w:val="00064402"/>
    <w:rsid w:val="00082230"/>
    <w:rsid w:val="000B24B6"/>
    <w:rsid w:val="000C2E86"/>
    <w:rsid w:val="000E1512"/>
    <w:rsid w:val="00103269"/>
    <w:rsid w:val="001141C8"/>
    <w:rsid w:val="0012031A"/>
    <w:rsid w:val="00123F1A"/>
    <w:rsid w:val="00130E9F"/>
    <w:rsid w:val="00141271"/>
    <w:rsid w:val="00142631"/>
    <w:rsid w:val="00142649"/>
    <w:rsid w:val="00173F7A"/>
    <w:rsid w:val="00191701"/>
    <w:rsid w:val="00192AD5"/>
    <w:rsid w:val="00196E8D"/>
    <w:rsid w:val="001A36BD"/>
    <w:rsid w:val="001A7789"/>
    <w:rsid w:val="001C3986"/>
    <w:rsid w:val="001C59C0"/>
    <w:rsid w:val="001F4FE2"/>
    <w:rsid w:val="00216329"/>
    <w:rsid w:val="002314E8"/>
    <w:rsid w:val="00266135"/>
    <w:rsid w:val="00267E75"/>
    <w:rsid w:val="002B5ED1"/>
    <w:rsid w:val="002F049C"/>
    <w:rsid w:val="002F22D5"/>
    <w:rsid w:val="00303FD9"/>
    <w:rsid w:val="00310896"/>
    <w:rsid w:val="003215BC"/>
    <w:rsid w:val="00337D92"/>
    <w:rsid w:val="003A6337"/>
    <w:rsid w:val="003A7833"/>
    <w:rsid w:val="003C1525"/>
    <w:rsid w:val="003C1E5C"/>
    <w:rsid w:val="003C3B80"/>
    <w:rsid w:val="003D0101"/>
    <w:rsid w:val="003F0497"/>
    <w:rsid w:val="004141AA"/>
    <w:rsid w:val="004516BB"/>
    <w:rsid w:val="004A645C"/>
    <w:rsid w:val="004B6808"/>
    <w:rsid w:val="004E6627"/>
    <w:rsid w:val="004F202F"/>
    <w:rsid w:val="00516E1D"/>
    <w:rsid w:val="005223E7"/>
    <w:rsid w:val="0053005F"/>
    <w:rsid w:val="0053364E"/>
    <w:rsid w:val="00561F74"/>
    <w:rsid w:val="00563790"/>
    <w:rsid w:val="005776D7"/>
    <w:rsid w:val="0058357A"/>
    <w:rsid w:val="00594933"/>
    <w:rsid w:val="005B13A4"/>
    <w:rsid w:val="005B6E45"/>
    <w:rsid w:val="005C0265"/>
    <w:rsid w:val="005C5571"/>
    <w:rsid w:val="005D5925"/>
    <w:rsid w:val="005F57AD"/>
    <w:rsid w:val="005F6297"/>
    <w:rsid w:val="006062F8"/>
    <w:rsid w:val="00624CBF"/>
    <w:rsid w:val="00626276"/>
    <w:rsid w:val="00647CB0"/>
    <w:rsid w:val="006517CB"/>
    <w:rsid w:val="00653384"/>
    <w:rsid w:val="0065446B"/>
    <w:rsid w:val="006755BF"/>
    <w:rsid w:val="00681E1F"/>
    <w:rsid w:val="006B3EA7"/>
    <w:rsid w:val="006F4AAC"/>
    <w:rsid w:val="0072157F"/>
    <w:rsid w:val="0072650D"/>
    <w:rsid w:val="00737788"/>
    <w:rsid w:val="007470CF"/>
    <w:rsid w:val="00762B12"/>
    <w:rsid w:val="00765465"/>
    <w:rsid w:val="00785127"/>
    <w:rsid w:val="007A3220"/>
    <w:rsid w:val="007B1E06"/>
    <w:rsid w:val="007B56A3"/>
    <w:rsid w:val="007C241B"/>
    <w:rsid w:val="007E5F27"/>
    <w:rsid w:val="00855F1B"/>
    <w:rsid w:val="008673B8"/>
    <w:rsid w:val="00870CEC"/>
    <w:rsid w:val="00885E36"/>
    <w:rsid w:val="00890BAF"/>
    <w:rsid w:val="00893FEB"/>
    <w:rsid w:val="008B1012"/>
    <w:rsid w:val="008C518F"/>
    <w:rsid w:val="008C535B"/>
    <w:rsid w:val="008C7657"/>
    <w:rsid w:val="008D07F5"/>
    <w:rsid w:val="008F461B"/>
    <w:rsid w:val="008F7AC3"/>
    <w:rsid w:val="00933FF9"/>
    <w:rsid w:val="00964817"/>
    <w:rsid w:val="009714ED"/>
    <w:rsid w:val="009D1146"/>
    <w:rsid w:val="009D5580"/>
    <w:rsid w:val="009D5AB7"/>
    <w:rsid w:val="009D603D"/>
    <w:rsid w:val="009F60E7"/>
    <w:rsid w:val="00A22B91"/>
    <w:rsid w:val="00A336D7"/>
    <w:rsid w:val="00A33E6F"/>
    <w:rsid w:val="00A3591B"/>
    <w:rsid w:val="00A53A38"/>
    <w:rsid w:val="00A62436"/>
    <w:rsid w:val="00A73189"/>
    <w:rsid w:val="00A80164"/>
    <w:rsid w:val="00A903CD"/>
    <w:rsid w:val="00AB3E8D"/>
    <w:rsid w:val="00AD37BD"/>
    <w:rsid w:val="00AF496C"/>
    <w:rsid w:val="00B06DE1"/>
    <w:rsid w:val="00B131F1"/>
    <w:rsid w:val="00B31D37"/>
    <w:rsid w:val="00B34F0F"/>
    <w:rsid w:val="00B7480A"/>
    <w:rsid w:val="00B9231C"/>
    <w:rsid w:val="00BB4C81"/>
    <w:rsid w:val="00BB6BA5"/>
    <w:rsid w:val="00BC66E9"/>
    <w:rsid w:val="00C065A6"/>
    <w:rsid w:val="00C069DA"/>
    <w:rsid w:val="00C115EB"/>
    <w:rsid w:val="00C139BB"/>
    <w:rsid w:val="00C36A41"/>
    <w:rsid w:val="00C4465D"/>
    <w:rsid w:val="00C54ECD"/>
    <w:rsid w:val="00C675B6"/>
    <w:rsid w:val="00C713C8"/>
    <w:rsid w:val="00C73AFC"/>
    <w:rsid w:val="00CA69B9"/>
    <w:rsid w:val="00CA7286"/>
    <w:rsid w:val="00CA77F5"/>
    <w:rsid w:val="00CD307A"/>
    <w:rsid w:val="00CE3395"/>
    <w:rsid w:val="00CE695B"/>
    <w:rsid w:val="00D0272A"/>
    <w:rsid w:val="00D07CD9"/>
    <w:rsid w:val="00D11DDC"/>
    <w:rsid w:val="00D20B99"/>
    <w:rsid w:val="00D34E87"/>
    <w:rsid w:val="00D44DD8"/>
    <w:rsid w:val="00D45A26"/>
    <w:rsid w:val="00D46751"/>
    <w:rsid w:val="00D52ECC"/>
    <w:rsid w:val="00D72EF2"/>
    <w:rsid w:val="00D90F34"/>
    <w:rsid w:val="00D95DB5"/>
    <w:rsid w:val="00DB542B"/>
    <w:rsid w:val="00DC5746"/>
    <w:rsid w:val="00DD1C0C"/>
    <w:rsid w:val="00DD389E"/>
    <w:rsid w:val="00E00BEE"/>
    <w:rsid w:val="00E31484"/>
    <w:rsid w:val="00E42B11"/>
    <w:rsid w:val="00E72BF0"/>
    <w:rsid w:val="00E83340"/>
    <w:rsid w:val="00E92FD2"/>
    <w:rsid w:val="00EA7F88"/>
    <w:rsid w:val="00EB709B"/>
    <w:rsid w:val="00ED6C37"/>
    <w:rsid w:val="00EE25F4"/>
    <w:rsid w:val="00EF3BDA"/>
    <w:rsid w:val="00EF4C00"/>
    <w:rsid w:val="00F0509E"/>
    <w:rsid w:val="00F3016A"/>
    <w:rsid w:val="00F33F71"/>
    <w:rsid w:val="00F3570C"/>
    <w:rsid w:val="00F5292B"/>
    <w:rsid w:val="00F71F0F"/>
    <w:rsid w:val="00F73567"/>
    <w:rsid w:val="00F85660"/>
    <w:rsid w:val="00F977E7"/>
    <w:rsid w:val="00FB3179"/>
    <w:rsid w:val="00FB709C"/>
    <w:rsid w:val="00FD5415"/>
    <w:rsid w:val="00FF297A"/>
    <w:rsid w:val="00FF2A3E"/>
    <w:rsid w:val="076C3D66"/>
    <w:rsid w:val="0D4F2975"/>
    <w:rsid w:val="15A05265"/>
    <w:rsid w:val="2CA174A1"/>
    <w:rsid w:val="3846693C"/>
    <w:rsid w:val="3DC833B9"/>
    <w:rsid w:val="44867251"/>
    <w:rsid w:val="492C413F"/>
    <w:rsid w:val="4D3A32CE"/>
    <w:rsid w:val="55734B62"/>
    <w:rsid w:val="58B32187"/>
    <w:rsid w:val="59417793"/>
    <w:rsid w:val="5BB95E4C"/>
    <w:rsid w:val="625A68C1"/>
    <w:rsid w:val="68C44E48"/>
    <w:rsid w:val="69442DF1"/>
    <w:rsid w:val="6AC558B0"/>
    <w:rsid w:val="72592EF7"/>
    <w:rsid w:val="75DA4BBF"/>
    <w:rsid w:val="7B82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F3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EF3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EF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59"/>
    <w:qFormat/>
    <w:rsid w:val="00EF3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autoRedefine/>
    <w:uiPriority w:val="99"/>
    <w:unhideWhenUsed/>
    <w:qFormat/>
    <w:rsid w:val="00EF3BD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autoRedefine/>
    <w:uiPriority w:val="99"/>
    <w:rsid w:val="00EF3BDA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EF3BDA"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EF3BDA"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rsid w:val="00EF3BDA"/>
    <w:pPr>
      <w:ind w:firstLineChars="200" w:firstLine="420"/>
    </w:pPr>
  </w:style>
  <w:style w:type="paragraph" w:customStyle="1" w:styleId="1">
    <w:name w:val="修订1"/>
    <w:autoRedefine/>
    <w:hidden/>
    <w:uiPriority w:val="99"/>
    <w:semiHidden/>
    <w:rsid w:val="00EF3BD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2936</Characters>
  <Application>Microsoft Office Word</Application>
  <DocSecurity>4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zhaoxx</dc:creator>
  <cp:lastModifiedBy>ZHONGM</cp:lastModifiedBy>
  <cp:revision>2</cp:revision>
  <dcterms:created xsi:type="dcterms:W3CDTF">2024-05-23T16:01:00Z</dcterms:created>
  <dcterms:modified xsi:type="dcterms:W3CDTF">2024-05-23T16:01:00Z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6A4596277C704659BC0EB6209E0746FA_12</vt:lpwstr>
  </property>
</Properties>
</file>