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3122">
      <w:pPr>
        <w:pStyle w:val="XBRL2"/>
        <w:spacing w:before="156"/>
      </w:pPr>
      <w:bookmarkStart w:id="0" w:name="_Toc510201001"/>
      <w:bookmarkEnd w:id="0"/>
      <w:r>
        <w:t xml:space="preserve">　</w:t>
      </w:r>
      <w:r>
        <w:t xml:space="preserve"> </w:t>
      </w:r>
    </w:p>
    <w:p w:rsidR="00000000" w:rsidRDefault="00DC3122">
      <w:pPr>
        <w:jc w:val="center"/>
      </w:pPr>
      <w:r>
        <w:rPr>
          <w:rFonts w:cs="Times New Roman" w:hint="eastAsia"/>
          <w:b/>
          <w:sz w:val="48"/>
          <w:szCs w:val="48"/>
        </w:rPr>
        <w:t>金信民富债券型证券投资基金</w:t>
      </w:r>
      <w:r>
        <w:rPr>
          <w:rFonts w:cs="Times New Roman" w:hint="eastAsia"/>
          <w:b/>
          <w:sz w:val="48"/>
          <w:szCs w:val="48"/>
        </w:rPr>
        <w:t>A</w:t>
      </w:r>
      <w:r>
        <w:rPr>
          <w:rFonts w:cs="Times New Roman" w:hint="eastAsia"/>
          <w:b/>
          <w:sz w:val="48"/>
          <w:szCs w:val="48"/>
        </w:rPr>
        <w:t>类恢复机构投资者大额申购业务的公告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DC3122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>
        <w:rPr>
          <w:rFonts w:hint="eastAsia"/>
          <w:b/>
          <w:bCs/>
          <w:sz w:val="24"/>
          <w:szCs w:val="30"/>
        </w:rPr>
        <w:t>2024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5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24</w:t>
      </w:r>
      <w:r>
        <w:rPr>
          <w:rFonts w:hint="eastAsia"/>
          <w:b/>
          <w:bCs/>
          <w:sz w:val="24"/>
          <w:szCs w:val="30"/>
        </w:rPr>
        <w:t>日</w:t>
      </w:r>
    </w:p>
    <w:p w:rsidR="00000000" w:rsidRDefault="00DC3122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7936"/>
      <w:bookmarkStart w:id="2" w:name="_Toc513295846"/>
      <w:bookmarkStart w:id="3" w:name="_Toc17898178"/>
      <w:bookmarkStart w:id="4" w:name="_Toc512519480"/>
      <w:bookmarkStart w:id="5" w:name="_Toc481075046"/>
      <w:bookmarkStart w:id="6" w:name="_Toc513295892"/>
      <w:bookmarkStart w:id="7" w:name="_Toc34322059"/>
      <w:bookmarkStart w:id="8" w:name="_Toc490050000"/>
      <w:bookmarkStart w:id="9" w:name="_Toc438646451"/>
      <w:bookmarkStart w:id="10" w:name="m01_01"/>
      <w:bookmarkStart w:id="11" w:name="m1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7"/>
        <w:gridCol w:w="1215"/>
        <w:gridCol w:w="3203"/>
        <w:gridCol w:w="3204"/>
      </w:tblGrid>
      <w:tr w:rsidR="00000000">
        <w:trPr>
          <w:trHeight w:val="31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金信民富债券型证券投资基金</w:t>
            </w:r>
          </w:p>
        </w:tc>
      </w:tr>
      <w:tr w:rsidR="00000000">
        <w:trPr>
          <w:trHeight w:val="31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金信民富债券</w:t>
            </w:r>
          </w:p>
        </w:tc>
      </w:tr>
      <w:tr w:rsidR="00000000">
        <w:trPr>
          <w:trHeight w:val="31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020078</w:t>
            </w:r>
          </w:p>
        </w:tc>
      </w:tr>
      <w:tr w:rsidR="00000000">
        <w:trPr>
          <w:trHeight w:val="31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金信基金管理有限公司</w:t>
            </w:r>
          </w:p>
        </w:tc>
      </w:tr>
      <w:tr w:rsidR="00000000">
        <w:trPr>
          <w:trHeight w:val="62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根据有关法律法规及《金信民富债券型证券投资基金基金合同》、《金信民富债券型证券投资基金招募说明书》等的规定。</w:t>
            </w:r>
          </w:p>
        </w:tc>
      </w:tr>
      <w:tr w:rsidR="00000000">
        <w:trPr>
          <w:trHeight w:val="319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恢复相关业务的日期及原因说明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恢复大额申购日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627"/>
        </w:trPr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C3122">
            <w:pPr>
              <w:widowControl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恢复大额申购的原因说明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为保护基金份额持有人利益，保持基金的平稳运行。</w:t>
            </w:r>
          </w:p>
        </w:tc>
      </w:tr>
      <w:tr w:rsidR="00000000">
        <w:trPr>
          <w:trHeight w:val="31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320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金信民富债券</w:t>
            </w:r>
            <w:r>
              <w:rPr>
                <w:rFonts w:hint="eastAsia"/>
              </w:rPr>
              <w:t>A</w:t>
            </w:r>
          </w:p>
        </w:tc>
        <w:tc>
          <w:tcPr>
            <w:tcW w:w="3204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金信民富债券</w:t>
            </w:r>
            <w:r>
              <w:rPr>
                <w:rFonts w:hint="eastAsia"/>
              </w:rPr>
              <w:t>C</w:t>
            </w:r>
          </w:p>
        </w:tc>
      </w:tr>
      <w:tr w:rsidR="00000000">
        <w:trPr>
          <w:trHeight w:val="31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320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020078</w:t>
            </w:r>
          </w:p>
        </w:tc>
        <w:tc>
          <w:tcPr>
            <w:tcW w:w="3204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020079</w:t>
            </w:r>
          </w:p>
        </w:tc>
      </w:tr>
      <w:tr w:rsidR="00000000">
        <w:trPr>
          <w:trHeight w:val="32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该分级基金是否恢复大额申购</w:t>
            </w:r>
          </w:p>
        </w:tc>
        <w:tc>
          <w:tcPr>
            <w:tcW w:w="320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204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DC3122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</w:tr>
    </w:tbl>
    <w:p w:rsidR="00000000" w:rsidRDefault="00DC3122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  <w:szCs w:val="24"/>
          <w:lang/>
        </w:rPr>
        <w:t>（</w:t>
      </w:r>
      <w:r>
        <w:rPr>
          <w:rFonts w:hint="eastAsia"/>
          <w:szCs w:val="24"/>
          <w:lang/>
        </w:rPr>
        <w:t>1</w:t>
      </w:r>
      <w:r>
        <w:rPr>
          <w:rFonts w:hint="eastAsia"/>
          <w:szCs w:val="24"/>
          <w:lang/>
        </w:rPr>
        <w:t>）金信民富债券</w:t>
      </w:r>
      <w:r>
        <w:rPr>
          <w:rFonts w:hint="eastAsia"/>
          <w:szCs w:val="24"/>
          <w:lang/>
        </w:rPr>
        <w:t>A</w:t>
      </w:r>
      <w:r>
        <w:rPr>
          <w:rFonts w:hint="eastAsia"/>
          <w:szCs w:val="24"/>
          <w:lang/>
        </w:rPr>
        <w:t>以下简称“本基金”；</w:t>
      </w:r>
      <w:r>
        <w:rPr>
          <w:rFonts w:hint="eastAsia"/>
          <w:szCs w:val="24"/>
          <w:lang/>
        </w:rPr>
        <w:br/>
      </w:r>
      <w:r>
        <w:rPr>
          <w:rFonts w:hint="eastAsia"/>
          <w:szCs w:val="24"/>
          <w:lang/>
        </w:rPr>
        <w:t xml:space="preserve">　　（</w:t>
      </w:r>
      <w:r>
        <w:rPr>
          <w:rFonts w:hint="eastAsia"/>
          <w:szCs w:val="24"/>
          <w:lang/>
        </w:rPr>
        <w:t>2</w:t>
      </w:r>
      <w:r>
        <w:rPr>
          <w:rFonts w:hint="eastAsia"/>
          <w:szCs w:val="24"/>
          <w:lang/>
        </w:rPr>
        <w:t>）金信基金管理有限公司以下简称“本公司”。</w:t>
      </w:r>
      <w:r>
        <w:rPr>
          <w:rFonts w:hint="eastAsia"/>
          <w:szCs w:val="24"/>
        </w:rPr>
        <w:t xml:space="preserve"> </w:t>
      </w:r>
    </w:p>
    <w:p w:rsidR="00000000" w:rsidRDefault="00DC3122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513295941"/>
      <w:bookmarkStart w:id="14" w:name="_Toc34322063"/>
      <w:bookmarkStart w:id="15" w:name="_Toc512519529"/>
      <w:bookmarkStart w:id="16" w:name="_Toc481075097"/>
      <w:bookmarkStart w:id="17" w:name="_Toc17898228"/>
      <w:bookmarkStart w:id="18" w:name="_Toc17897969"/>
      <w:bookmarkStart w:id="19" w:name="_Toc438646481"/>
      <w:bookmarkStart w:id="20" w:name="_Toc490050049"/>
      <w:bookmarkStart w:id="21" w:name="_Toc51329587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00000" w:rsidRDefault="00DC312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）本公司于</w:t>
      </w:r>
      <w:r>
        <w:rPr>
          <w:rFonts w:hint="eastAsia"/>
          <w:szCs w:val="21"/>
        </w:rPr>
        <w:t>2024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日发布《金信民富债券型证券投资基金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类暂停机构投资者大额申购业务的公告》，决定从</w:t>
      </w:r>
      <w:r>
        <w:rPr>
          <w:rFonts w:hint="eastAsia"/>
          <w:szCs w:val="21"/>
        </w:rPr>
        <w:t>2024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日起暂停机构</w:t>
      </w:r>
      <w:r>
        <w:rPr>
          <w:rFonts w:hint="eastAsia"/>
          <w:szCs w:val="21"/>
        </w:rPr>
        <w:t>投资者在本基金直销机构及各代销机构的大额申购业务。本公司现决定，自</w:t>
      </w:r>
      <w:r>
        <w:rPr>
          <w:rFonts w:hint="eastAsia"/>
          <w:szCs w:val="21"/>
        </w:rPr>
        <w:t>2024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日起，取消上述限制，恢复办理机构投资者大额申购业务。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）投资者如欲了解详情，可登陆本公司网站（</w:t>
      </w:r>
      <w:r>
        <w:rPr>
          <w:rFonts w:hint="eastAsia"/>
          <w:szCs w:val="21"/>
        </w:rPr>
        <w:t>www.jxfunds.com.cn</w:t>
      </w:r>
      <w:r>
        <w:rPr>
          <w:rFonts w:hint="eastAsia"/>
          <w:szCs w:val="21"/>
        </w:rPr>
        <w:t>）或拨打客户服务电话：</w:t>
      </w:r>
      <w:r>
        <w:rPr>
          <w:rFonts w:hint="eastAsia"/>
          <w:szCs w:val="21"/>
        </w:rPr>
        <w:t>400-900-8336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风险提示：基金管理人承诺依照诚实信用、勤勉尽职的原则管理和运用基金资产，但不保证基金一定盈利，也不保证最低收益。本基金的过往业绩及其净值高低并不预示其未来业绩表现。投资者投资本基金前应认真阅读基金合同、招募说明书、产品资料概要等法</w:t>
      </w:r>
      <w:r>
        <w:rPr>
          <w:rFonts w:hint="eastAsia"/>
          <w:szCs w:val="21"/>
        </w:rPr>
        <w:t>律文件，了解拟投资基金的风险收益特征，并根据自身投资目的、投资期限、投资经验、资产状况等判断基金是否和投资者风险承受能力相匹配。</w:t>
      </w:r>
    </w:p>
    <w:p w:rsidR="00000000" w:rsidRDefault="00DC312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DC312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DC312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金信基金管理有限公司</w:t>
      </w:r>
    </w:p>
    <w:p w:rsidR="00000000" w:rsidRDefault="00DC312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24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000000">
      <w:headerReference w:type="default" r:id="rId7"/>
      <w:footerReference w:type="default" r:id="rId8"/>
      <w:pgSz w:w="11907" w:h="16839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C3122">
      <w:r>
        <w:separator/>
      </w:r>
    </w:p>
  </w:endnote>
  <w:endnote w:type="continuationSeparator" w:id="0">
    <w:p w:rsidR="00000000" w:rsidRDefault="00DC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12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sz w:val="18"/>
        <w:szCs w:val="18"/>
        <w:lang w:val="en-US" w:eastAsia="zh-CN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sz w:val="18"/>
        <w:szCs w:val="18"/>
        <w:lang w:val="en-US" w:eastAsia="zh-CN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C3122">
      <w:r>
        <w:separator/>
      </w:r>
    </w:p>
  </w:footnote>
  <w:footnote w:type="continuationSeparator" w:id="0">
    <w:p w:rsidR="00000000" w:rsidRDefault="00DC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122">
    <w:pPr>
      <w:pStyle w:val="a7"/>
      <w:jc w:val="right"/>
      <w:rPr>
        <w:rFonts w:hint="eastAsia"/>
      </w:rPr>
    </w:pPr>
    <w:r>
      <w:rPr>
        <w:rFonts w:hint="eastAsia"/>
      </w:rPr>
      <w:t>金信民富债券型证券投资基金</w:t>
    </w:r>
    <w:r>
      <w:rPr>
        <w:rFonts w:hint="eastAsia"/>
      </w:rPr>
      <w:t>A</w:t>
    </w:r>
    <w:r>
      <w:rPr>
        <w:rFonts w:hint="eastAsia"/>
      </w:rPr>
      <w:t>类恢复机构投资者大额申购业务的公告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Y3MTVkOTc5NDRiZmQ5ODU2MjVkMThmNjUzYjU5OGEifQ=="/>
  </w:docVars>
  <w:rsids>
    <w:rsidRoot w:val="00173E60"/>
    <w:rsid w:val="0009412A"/>
    <w:rsid w:val="00173E60"/>
    <w:rsid w:val="00DC3122"/>
    <w:rsid w:val="45C0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1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3">
    <w:name w:val="Document Map"/>
    <w:basedOn w:val="a"/>
    <w:link w:val="Char1"/>
    <w:pPr>
      <w:shd w:val="clear" w:color="auto" w:fill="000080"/>
    </w:pPr>
  </w:style>
  <w:style w:type="character" w:customStyle="1" w:styleId="Char1">
    <w:name w:val="文档结构图 Char1"/>
    <w:link w:val="a3"/>
    <w:locked/>
    <w:rPr>
      <w:rFonts w:ascii="宋体" w:eastAsia="宋体" w:hAnsi="宋体" w:hint="eastAsia"/>
      <w:kern w:val="2"/>
      <w:sz w:val="18"/>
      <w:szCs w:val="18"/>
    </w:rPr>
  </w:style>
  <w:style w:type="paragraph" w:styleId="30">
    <w:name w:val="toc 3"/>
    <w:basedOn w:val="a"/>
    <w:next w:val="a"/>
    <w:uiPriority w:val="39"/>
    <w:unhideWhenUsed/>
  </w:style>
  <w:style w:type="paragraph" w:styleId="a4">
    <w:name w:val="Date"/>
    <w:basedOn w:val="a"/>
    <w:next w:val="a"/>
    <w:link w:val="Char10"/>
    <w:rPr>
      <w:sz w:val="32"/>
    </w:rPr>
  </w:style>
  <w:style w:type="character" w:customStyle="1" w:styleId="Char10">
    <w:name w:val="日期 Char1"/>
    <w:link w:val="a4"/>
    <w:locked/>
    <w:rPr>
      <w:rFonts w:ascii="宋体" w:eastAsia="宋体" w:hAnsi="宋体" w:hint="eastAsia"/>
      <w:kern w:val="2"/>
      <w:sz w:val="32"/>
    </w:rPr>
  </w:style>
  <w:style w:type="paragraph" w:styleId="a5">
    <w:name w:val="Balloon Text"/>
    <w:basedOn w:val="a"/>
    <w:link w:val="Char11"/>
    <w:uiPriority w:val="99"/>
    <w:unhideWhenUsed/>
    <w:rPr>
      <w:sz w:val="18"/>
      <w:szCs w:val="18"/>
    </w:rPr>
  </w:style>
  <w:style w:type="character" w:customStyle="1" w:styleId="Char11">
    <w:name w:val="批注框文本 Char1"/>
    <w:link w:val="a5"/>
    <w:uiPriority w:val="99"/>
    <w:semiHidden/>
    <w:locked/>
    <w:rPr>
      <w:kern w:val="2"/>
      <w:sz w:val="18"/>
      <w:szCs w:val="18"/>
    </w:rPr>
  </w:style>
  <w:style w:type="paragraph" w:styleId="a6">
    <w:name w:val="footer"/>
    <w:basedOn w:val="a"/>
    <w:link w:val="Char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link w:val="a6"/>
    <w:uiPriority w:val="99"/>
    <w:locked/>
    <w:rPr>
      <w:kern w:val="2"/>
      <w:sz w:val="18"/>
      <w:szCs w:val="18"/>
    </w:rPr>
  </w:style>
  <w:style w:type="paragraph" w:styleId="a7">
    <w:name w:val="header"/>
    <w:basedOn w:val="a"/>
    <w:link w:val="Char1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link w:val="a7"/>
    <w:locked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8835"/>
      </w:tabs>
    </w:pPr>
    <w:rPr>
      <w:lang w:val="en-US" w:eastAsia="zh-CN"/>
    </w:rPr>
  </w:style>
  <w:style w:type="paragraph" w:styleId="a8">
    <w:name w:val="Subtitle"/>
    <w:basedOn w:val="2"/>
    <w:next w:val="3"/>
    <w:link w:val="Char14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14">
    <w:name w:val="副标题 Char1"/>
    <w:link w:val="a8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paragraph" w:styleId="a9">
    <w:name w:val="footnote text"/>
    <w:basedOn w:val="a"/>
    <w:link w:val="Char15"/>
    <w:pPr>
      <w:snapToGrid w:val="0"/>
      <w:jc w:val="left"/>
    </w:pPr>
    <w:rPr>
      <w:sz w:val="18"/>
      <w:szCs w:val="18"/>
    </w:rPr>
  </w:style>
  <w:style w:type="character" w:customStyle="1" w:styleId="Char15">
    <w:name w:val="脚注文本 Char1"/>
    <w:link w:val="a9"/>
    <w:locked/>
    <w:rPr>
      <w:kern w:val="2"/>
      <w:sz w:val="18"/>
      <w:szCs w:val="18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Title"/>
    <w:basedOn w:val="1"/>
    <w:next w:val="2"/>
    <w:link w:val="Char16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16">
    <w:name w:val="标题 Char1"/>
    <w:link w:val="ab"/>
    <w:uiPriority w:val="10"/>
    <w:locked/>
    <w:rPr>
      <w:rFonts w:ascii="Cambria" w:hAnsi="Cambria" w:cs="宋体" w:hint="default"/>
      <w:b/>
      <w:bCs/>
      <w:sz w:val="32"/>
      <w:szCs w:val="32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Pr>
      <w:color w:val="800080"/>
      <w:u w:val="single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">
    <w:name w:val="脚注文本 Char"/>
    <w:link w:val="a9"/>
    <w:locked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b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8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4"/>
    <w:locked/>
    <w:rPr>
      <w:kern w:val="2"/>
      <w:sz w:val="21"/>
    </w:rPr>
  </w:style>
  <w:style w:type="character" w:customStyle="1" w:styleId="Char6">
    <w:name w:val="文档结构图 Char"/>
    <w:link w:val="a3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5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8"/>
    <w:next w:val="4"/>
    <w:qFormat/>
    <w:pPr>
      <w:numPr>
        <w:ilvl w:val="5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af0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8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1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8"/>
    <w:next w:val="4"/>
    <w:qFormat/>
    <w:pPr>
      <w:keepNext w:val="0"/>
      <w:keepLines w:val="0"/>
      <w:numPr>
        <w:ilvl w:val="1"/>
        <w:numId w:val="1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8"/>
    <w:next w:val="4"/>
    <w:qFormat/>
    <w:pPr>
      <w:numPr>
        <w:ilvl w:val="4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8"/>
    <w:next w:val="4"/>
    <w:qFormat/>
    <w:pPr>
      <w:numPr>
        <w:ilvl w:val="3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8"/>
    <w:next w:val="4"/>
    <w:qFormat/>
    <w:pPr>
      <w:keepNext w:val="0"/>
      <w:keepLines w:val="0"/>
      <w:numPr>
        <w:ilvl w:val="2"/>
        <w:numId w:val="1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1">
    <w:name w:val="脚注文本 字符"/>
    <w:link w:val="a9"/>
    <w:locked/>
    <w:rPr>
      <w:kern w:val="2"/>
      <w:sz w:val="18"/>
      <w:szCs w:val="18"/>
    </w:rPr>
  </w:style>
  <w:style w:type="character" w:customStyle="1" w:styleId="af2">
    <w:name w:val="页眉 字符"/>
    <w:link w:val="a7"/>
    <w:locked/>
    <w:rPr>
      <w:kern w:val="2"/>
      <w:sz w:val="18"/>
      <w:szCs w:val="18"/>
    </w:rPr>
  </w:style>
  <w:style w:type="character" w:customStyle="1" w:styleId="af3">
    <w:name w:val="页脚 字符"/>
    <w:link w:val="a6"/>
    <w:uiPriority w:val="99"/>
    <w:locked/>
    <w:rPr>
      <w:kern w:val="2"/>
      <w:sz w:val="18"/>
      <w:szCs w:val="18"/>
    </w:rPr>
  </w:style>
  <w:style w:type="character" w:customStyle="1" w:styleId="af4">
    <w:name w:val="标题 字符"/>
    <w:link w:val="ab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5">
    <w:name w:val="副标题 字符"/>
    <w:link w:val="a8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6">
    <w:name w:val="日期 字符"/>
    <w:link w:val="a4"/>
    <w:locked/>
    <w:rPr>
      <w:kern w:val="2"/>
      <w:sz w:val="21"/>
    </w:rPr>
  </w:style>
  <w:style w:type="character" w:customStyle="1" w:styleId="af7">
    <w:name w:val="文档结构图 字符"/>
    <w:link w:val="a3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8">
    <w:name w:val="批注框文本 字符"/>
    <w:link w:val="a5"/>
    <w:uiPriority w:val="99"/>
    <w:semiHidden/>
    <w:locked/>
    <w:rPr>
      <w:kern w:val="2"/>
      <w:sz w:val="18"/>
      <w:szCs w:val="18"/>
    </w:rPr>
  </w:style>
  <w:style w:type="character" w:customStyle="1" w:styleId="12">
    <w:name w:val="页眉 字符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2024-05-23T16:00:00Z</dcterms:created>
  <dcterms:modified xsi:type="dcterms:W3CDTF">2024-05-23T16:00:00Z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28D6E8C9C8344C45A5DA5C0A0661EED1_12</vt:lpwstr>
  </property>
</Properties>
</file>