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7C4062">
        <w:rPr>
          <w:rFonts w:ascii="Times New Roman" w:eastAsia="宋体" w:hAnsi="Times New Roman" w:cs="Times New Roman" w:hint="eastAsia"/>
          <w:b/>
          <w:bCs/>
          <w:color w:val="000000"/>
          <w:sz w:val="28"/>
          <w:szCs w:val="28"/>
        </w:rPr>
        <w:t>国信证券</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7C4062">
        <w:rPr>
          <w:rFonts w:ascii="宋体" w:eastAsia="宋体" w:hAnsi="宋体" w:cs="Calibri" w:hint="eastAsia"/>
          <w:kern w:val="0"/>
          <w:szCs w:val="21"/>
        </w:rPr>
        <w:t>国信证券股份有限公司</w:t>
      </w:r>
      <w:r w:rsidRPr="008B2A21">
        <w:rPr>
          <w:rFonts w:ascii="宋体" w:eastAsia="宋体" w:hAnsi="宋体" w:cs="Calibri" w:hint="eastAsia"/>
          <w:kern w:val="0"/>
          <w:szCs w:val="21"/>
        </w:rPr>
        <w:t>（以下简称“</w:t>
      </w:r>
      <w:r w:rsidR="007C4062">
        <w:rPr>
          <w:rFonts w:ascii="宋体" w:eastAsia="宋体" w:hAnsi="宋体" w:cs="Calibri" w:hint="eastAsia"/>
          <w:kern w:val="0"/>
          <w:szCs w:val="21"/>
        </w:rPr>
        <w:t>国信证券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727B89">
        <w:rPr>
          <w:rFonts w:ascii="宋体" w:eastAsia="宋体" w:hAnsi="宋体" w:cs="Arial"/>
          <w:kern w:val="0"/>
          <w:szCs w:val="21"/>
        </w:rPr>
        <w:t>4</w:t>
      </w:r>
      <w:r w:rsidRPr="008B2A21">
        <w:rPr>
          <w:rFonts w:ascii="宋体" w:eastAsia="宋体" w:hAnsi="宋体" w:cs="Calibri" w:hint="eastAsia"/>
          <w:kern w:val="0"/>
          <w:szCs w:val="21"/>
        </w:rPr>
        <w:t>年</w:t>
      </w:r>
      <w:r w:rsidR="00CE3F13">
        <w:rPr>
          <w:rFonts w:ascii="宋体" w:eastAsia="宋体" w:hAnsi="宋体" w:cs="Calibri" w:hint="eastAsia"/>
          <w:kern w:val="0"/>
          <w:szCs w:val="21"/>
        </w:rPr>
        <w:t>5</w:t>
      </w:r>
      <w:r w:rsidRPr="008B2A21">
        <w:rPr>
          <w:rFonts w:ascii="宋体" w:eastAsia="宋体" w:hAnsi="宋体" w:cs="Calibri" w:hint="eastAsia"/>
          <w:kern w:val="0"/>
          <w:szCs w:val="21"/>
        </w:rPr>
        <w:t>月</w:t>
      </w:r>
      <w:r w:rsidR="00CE3F13">
        <w:rPr>
          <w:rFonts w:ascii="宋体" w:eastAsia="宋体" w:hAnsi="宋体" w:cs="Calibri" w:hint="eastAsia"/>
          <w:kern w:val="0"/>
          <w:szCs w:val="21"/>
        </w:rPr>
        <w:t>21</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7C4062">
        <w:rPr>
          <w:rFonts w:ascii="宋体" w:eastAsia="宋体" w:hAnsi="宋体" w:cs="Calibri" w:hint="eastAsia"/>
          <w:kern w:val="0"/>
          <w:szCs w:val="21"/>
        </w:rPr>
        <w:t>国信证券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7C4062">
        <w:rPr>
          <w:rFonts w:ascii="宋体" w:eastAsia="宋体" w:hAnsi="宋体" w:cs="Calibri" w:hint="eastAsia"/>
          <w:kern w:val="0"/>
          <w:szCs w:val="21"/>
        </w:rPr>
        <w:t>国信证券</w:t>
      </w:r>
      <w:r w:rsidRPr="008B2A21">
        <w:rPr>
          <w:rFonts w:ascii="宋体" w:eastAsia="宋体" w:hAnsi="宋体" w:cs="Calibri" w:hint="eastAsia"/>
          <w:kern w:val="0"/>
          <w:szCs w:val="21"/>
        </w:rPr>
        <w:t>的规定为准。现将相关事项公告如下：</w:t>
      </w:r>
    </w:p>
    <w:p w:rsidR="00C21B09" w:rsidRPr="00CE3F13" w:rsidRDefault="00C21B09" w:rsidP="00CE3F13">
      <w:pPr>
        <w:pStyle w:val="ad"/>
        <w:widowControl/>
        <w:numPr>
          <w:ilvl w:val="0"/>
          <w:numId w:val="1"/>
        </w:numPr>
        <w:spacing w:line="360" w:lineRule="auto"/>
        <w:ind w:firstLineChars="0"/>
        <w:jc w:val="left"/>
        <w:rPr>
          <w:rFonts w:ascii="宋体" w:eastAsia="宋体" w:hAnsi="宋体" w:cs="Arial"/>
          <w:szCs w:val="21"/>
        </w:rPr>
      </w:pPr>
      <w:r w:rsidRPr="00CE3F13">
        <w:rPr>
          <w:rFonts w:ascii="宋体" w:eastAsia="宋体" w:hAnsi="宋体" w:cs="Arial" w:hint="eastAsia"/>
          <w:szCs w:val="21"/>
        </w:rPr>
        <w:t>适用基金及基金业务开通情况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554"/>
        <w:gridCol w:w="982"/>
        <w:gridCol w:w="992"/>
        <w:gridCol w:w="1780"/>
      </w:tblGrid>
      <w:tr w:rsidR="00CE3F13" w:rsidRPr="00CE3F13" w:rsidTr="00CE3F13">
        <w:trPr>
          <w:trHeight w:val="285"/>
        </w:trPr>
        <w:tc>
          <w:tcPr>
            <w:tcW w:w="988" w:type="dxa"/>
            <w:shd w:val="clear" w:color="auto" w:fill="auto"/>
            <w:noWrap/>
            <w:vAlign w:val="center"/>
            <w:hideMark/>
          </w:tcPr>
          <w:p w:rsidR="00CE3F13" w:rsidRPr="00CE3F13" w:rsidRDefault="00CE3F13" w:rsidP="00CE3F13">
            <w:pPr>
              <w:widowControl/>
              <w:jc w:val="left"/>
              <w:rPr>
                <w:rFonts w:ascii="等线" w:eastAsia="等线" w:hAnsi="等线" w:cs="Arial"/>
                <w:b/>
                <w:bCs/>
                <w:color w:val="000000"/>
                <w:kern w:val="0"/>
                <w:sz w:val="22"/>
              </w:rPr>
            </w:pPr>
            <w:r w:rsidRPr="001A0967">
              <w:rPr>
                <w:rFonts w:ascii="宋体" w:eastAsia="宋体" w:hAnsi="宋体" w:cs="Calibri" w:hint="eastAsia"/>
                <w:b/>
                <w:kern w:val="0"/>
                <w:sz w:val="18"/>
                <w:szCs w:val="18"/>
              </w:rPr>
              <w:t>基金代码</w:t>
            </w:r>
          </w:p>
        </w:tc>
        <w:tc>
          <w:tcPr>
            <w:tcW w:w="3554" w:type="dxa"/>
            <w:shd w:val="clear" w:color="auto" w:fill="auto"/>
            <w:noWrap/>
            <w:vAlign w:val="center"/>
            <w:hideMark/>
          </w:tcPr>
          <w:p w:rsidR="00CE3F13" w:rsidRPr="00CE3F13" w:rsidRDefault="00CE3F13" w:rsidP="00CE3F13">
            <w:pPr>
              <w:widowControl/>
              <w:jc w:val="left"/>
              <w:rPr>
                <w:rFonts w:ascii="等线" w:eastAsia="等线" w:hAnsi="等线" w:cs="Arial"/>
                <w:b/>
                <w:bCs/>
                <w:color w:val="000000"/>
                <w:kern w:val="0"/>
                <w:sz w:val="22"/>
              </w:rPr>
            </w:pPr>
            <w:r>
              <w:rPr>
                <w:rFonts w:ascii="宋体" w:eastAsia="宋体" w:hAnsi="宋体" w:cs="Calibri" w:hint="eastAsia"/>
                <w:b/>
                <w:kern w:val="0"/>
                <w:sz w:val="18"/>
                <w:szCs w:val="18"/>
              </w:rPr>
              <w:t>基金全</w:t>
            </w:r>
            <w:r w:rsidRPr="001A0967">
              <w:rPr>
                <w:rFonts w:ascii="宋体" w:eastAsia="宋体" w:hAnsi="宋体" w:cs="Calibri" w:hint="eastAsia"/>
                <w:b/>
                <w:kern w:val="0"/>
                <w:sz w:val="18"/>
                <w:szCs w:val="18"/>
              </w:rPr>
              <w:t>称</w:t>
            </w:r>
          </w:p>
        </w:tc>
        <w:tc>
          <w:tcPr>
            <w:tcW w:w="982" w:type="dxa"/>
            <w:shd w:val="clear" w:color="auto" w:fill="auto"/>
            <w:noWrap/>
            <w:vAlign w:val="center"/>
            <w:hideMark/>
          </w:tcPr>
          <w:p w:rsidR="00CE3F13" w:rsidRPr="00CE3F13" w:rsidRDefault="00CE3F13" w:rsidP="00CE3F13">
            <w:pPr>
              <w:widowControl/>
              <w:jc w:val="left"/>
              <w:rPr>
                <w:rFonts w:ascii="Times New Roman" w:eastAsia="Times New Roman" w:hAnsi="Times New Roman" w:cs="Times New Roman"/>
                <w:kern w:val="0"/>
                <w:sz w:val="20"/>
                <w:szCs w:val="20"/>
              </w:rPr>
            </w:pPr>
            <w:r w:rsidRPr="001A0967">
              <w:rPr>
                <w:rFonts w:ascii="宋体" w:eastAsia="宋体" w:hAnsi="宋体" w:cs="Calibri"/>
                <w:b/>
                <w:kern w:val="0"/>
                <w:sz w:val="18"/>
                <w:szCs w:val="18"/>
              </w:rPr>
              <w:t>是否开通定投业务</w:t>
            </w:r>
          </w:p>
        </w:tc>
        <w:tc>
          <w:tcPr>
            <w:tcW w:w="992" w:type="dxa"/>
            <w:shd w:val="clear" w:color="auto" w:fill="auto"/>
            <w:noWrap/>
            <w:vAlign w:val="center"/>
            <w:hideMark/>
          </w:tcPr>
          <w:p w:rsidR="00CE3F13" w:rsidRPr="00CE3F13" w:rsidRDefault="00CE3F13" w:rsidP="00CE3F13">
            <w:pPr>
              <w:widowControl/>
              <w:jc w:val="left"/>
              <w:rPr>
                <w:rFonts w:ascii="Times New Roman" w:eastAsia="Times New Roman" w:hAnsi="Times New Roman" w:cs="Times New Roman"/>
                <w:kern w:val="0"/>
                <w:sz w:val="20"/>
                <w:szCs w:val="20"/>
              </w:rPr>
            </w:pPr>
            <w:r w:rsidRPr="001A0967">
              <w:rPr>
                <w:rFonts w:ascii="宋体" w:eastAsia="宋体" w:hAnsi="宋体" w:cs="Calibri"/>
                <w:b/>
                <w:kern w:val="0"/>
                <w:sz w:val="18"/>
                <w:szCs w:val="18"/>
              </w:rPr>
              <w:t>是否开通转换业务</w:t>
            </w:r>
          </w:p>
        </w:tc>
        <w:tc>
          <w:tcPr>
            <w:tcW w:w="1780" w:type="dxa"/>
            <w:shd w:val="clear" w:color="auto" w:fill="auto"/>
            <w:noWrap/>
            <w:vAlign w:val="center"/>
            <w:hideMark/>
          </w:tcPr>
          <w:p w:rsidR="00CE3F13" w:rsidRPr="00CE3F13" w:rsidRDefault="00CE3F13" w:rsidP="00CE3F13">
            <w:pPr>
              <w:widowControl/>
              <w:jc w:val="left"/>
              <w:rPr>
                <w:rFonts w:ascii="Times New Roman" w:eastAsia="Times New Roman" w:hAnsi="Times New Roman" w:cs="Times New Roman"/>
                <w:kern w:val="0"/>
                <w:sz w:val="20"/>
                <w:szCs w:val="20"/>
              </w:rPr>
            </w:pPr>
            <w:r w:rsidRPr="001A0967">
              <w:rPr>
                <w:rFonts w:ascii="宋体" w:eastAsia="宋体" w:hAnsi="宋体" w:cs="Calibri"/>
                <w:b/>
                <w:kern w:val="0"/>
                <w:sz w:val="18"/>
                <w:szCs w:val="18"/>
              </w:rPr>
              <w:t>是否参加销售机构申购（含定期定额申购）费率优惠</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260115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景顺长城中小盘混合型证券投资基金A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018553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景顺长城中小盘混合型证券投资基金C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261001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景顺长城稳定收益债券型证券投资基金A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261101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景顺长城稳定收益债券型证券投资基金C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000181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景顺长城四季金利债券型证券投资基金A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000182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景顺长城四季金利债券型证券投资基金C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000252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景顺长城景兴信用纯债债券型证券投资基金A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000253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景顺长城景兴信用纯债债券型证券投资基金C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000385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景顺长城景颐双利债券型证券投资基金A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000386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景顺长城景颐双利债券型证券投资基金C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001361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景顺长城中证科技传媒通信150交易型开放式指数证券投资基金联接基金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001422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景顺长城安享回报灵活配置混合型证券投资基金A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001423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景顺长城安享回报灵活配置混合型证券投资基金C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001455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景顺长城中证500交易型开放式指数证券投资基金联接基金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001535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景顺长城改革机遇灵活配置混合型证券投资基金A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007945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景顺长城改革机遇灵活配置混合型证券投资基金C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002065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景顺长城景盛双息收益债券型证券投资基金A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002066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景顺长城景盛双息收益债券型证券投资基</w:t>
            </w:r>
            <w:r w:rsidRPr="00CE3F13">
              <w:rPr>
                <w:rFonts w:ascii="宋体" w:eastAsia="宋体" w:hAnsi="宋体" w:cs="Calibri"/>
                <w:kern w:val="0"/>
                <w:sz w:val="18"/>
                <w:szCs w:val="18"/>
              </w:rPr>
              <w:lastRenderedPageBreak/>
              <w:t>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lastRenderedPageBreak/>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lastRenderedPageBreak/>
              <w:t>002244</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景顺长城低碳科技主题灵活配置混合型证券投资基金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003318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景顺长城中证500行业中性低波动指数型证券投资基金A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019359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景顺长城中证500行业中性低波动指数型证券投资基金C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004476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景顺长城沪港深领先科技股票型证券投资基金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005258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景顺长城量化平衡灵活配置混合型证券投资基金A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019215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景顺长城量化平衡灵活配置混合型证券投资基金C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006063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景顺长城MSCI中国A股国际通指数增强型证券投资基金A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019251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景顺长城MSCI中国A股国际通指数增强型证券投资基金C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005914</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景顺长城智能生活混合型证券投资基金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016935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景顺长城中证500指数增强型证券投资基金C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006106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景顺长城量化港股通股票型证券投资基金A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018861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景顺长城量化港股通股票型证券投资基金C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007751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景顺长城中证沪港深红利成长低波动指数型证券投资基金A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007760</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景顺长城中证沪港深红利成长低波动指数型证券投资基金C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017259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景顺长城稳健养老目标三年持有期混合型发起式基金中基金（FOF）Y</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009098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景顺长城价值领航两年持有期混合型证券投资基金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008657</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景顺长城科技创新混合型证券投资基金A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015683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景顺长城科技创新混合型证券投资基金C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008999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景顺长城景颐嘉利6个月持有期债券型证券投资基金A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009000</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景顺长城景颐嘉利6个月持有期债券型证券投资基金C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009376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景顺长城成长领航混合型证券投资基金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009598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景顺长城科技创新三年定期开放灵活配置混合型证券投资基金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008850</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景顺长城价值稳进三年定期开放灵活配置混合型证券投资基金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lastRenderedPageBreak/>
              <w:t>008060</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景顺长城价值边际灵活配置混合型证券投资基金A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015779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景顺长城价值边际灵活配置混合型证券投资基金C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010104</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景顺长城消费精选混合型证券投资基金A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010105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景顺长城消费精选混合型证券投资基金C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010011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景顺长城景颐招利6个月持有期债券型证券投资基金A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010012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景顺长城景颐招利6个月持有期债券型证券投资基金C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009992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景顺长城量化成长演化混合型证券投资基金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010108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景顺长城核心招景混合型证券投资基金A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015752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景顺长城核心招景混合型证券投资基金C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010289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景顺长城产业趋势混合型证券投资基金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011328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景顺长城新能源产业股票型证券投资基金A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011329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景顺长城新能源产业股票型证券投资基金C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010350</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景顺长城品质长青混合型证券投资基金A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015751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景顺长城品质长青混合型证券投资基金C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011018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景顺长城安泽回报一年持有期混合型证券投资基金A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bookmarkStart w:id="0" w:name="_GoBack"/>
        <w:bookmarkEnd w:id="0"/>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011019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景顺长城安泽回报一年持有期混合型证券投资基金C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010706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景顺长城景骊成长混合型证券投资基金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011997</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景顺长城安盈回报一年持有期混合型证券投资基金A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011998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景顺长城安盈回报一年持有期混合型证券投资基金C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011167</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景顺长城景气成长混合型证券投资基金A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015756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景顺长城景气成长混合型证券投资基金C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011803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景顺长城宁景6个月持有期混合型证券投资基金A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011804</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景顺长城宁景6个月持有期混合型证券投资基金C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014062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景顺长城专精特新量化优选股票型证券投资基金A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014063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景顺长城专精特新量化优选股票型证券投资基金C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014148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景顺长城安鼎一年持有期混合型证券投资基金A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014149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景顺长城安鼎一年持有期混合型证券投资基金C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013225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景顺长城安景一年持有期混合型证券投资基金A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013226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景顺长城安景一年持有期混合型证券投资基金C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014472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景顺长城远见成长混合型证券投资基金A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014473</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景顺长城远见成长混合型证券投资基金C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014767</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景顺长城华城稳健6个月持有期混合型证券投资基金A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014768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景顺长城华城稳健6个月持有期混合型证券投资基金C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013904</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景顺长城养老目标日期2035三年持有期混合型发起式基金中基金（FOF）A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021048</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景顺长城养老目标日期2035三年持有期混合型发起式基金中基金（FOF）Y</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010949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景顺长城研究驱动三年持有期混合型证券投资基金</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015495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景顺长城中证1000指数增强型证券投资基金A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015496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景顺长城中证1000指数增强型证券投资基金C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019652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景顺长城隽丰平衡养老目标三年持有期混合型发起式基金中基金（FOF）Y</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不开通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015871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景顺长城国证新能源车电池交易型开放式指数证券投资基金发起式联接基金A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015872</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景顺长城国证新能源车电池交易型开放式指数证券投资基金发起式联接基金C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016495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景顺长城中证港股通科技交易型开放式指数证券投资基金发起式联接基金A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016496</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景顺长城中证港股通科技交易型开放式指数证券投资基金发起式联接基金C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016869</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景顺长城稳健增益债券型证券投资基金A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016870</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景顺长城稳健增益债券型证券投资基金C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017091</w:t>
            </w:r>
          </w:p>
        </w:tc>
        <w:tc>
          <w:tcPr>
            <w:tcW w:w="3554" w:type="dxa"/>
            <w:shd w:val="clear" w:color="auto" w:fill="auto"/>
            <w:noWrap/>
            <w:vAlign w:val="bottom"/>
            <w:hideMark/>
          </w:tcPr>
          <w:p w:rsidR="00CE3F13" w:rsidRPr="00CE3F13" w:rsidRDefault="00CE3F13" w:rsidP="006A34C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景顺长城纳斯达克科技市值加权交易型开放式指数证券投资基金发起式联接基金（QDII）</w:t>
            </w:r>
            <w:r w:rsidR="006A34C3" w:rsidRPr="00CE3F13">
              <w:rPr>
                <w:rFonts w:ascii="宋体" w:eastAsia="宋体" w:hAnsi="宋体" w:cs="Calibri"/>
                <w:kern w:val="0"/>
                <w:sz w:val="18"/>
                <w:szCs w:val="18"/>
              </w:rPr>
              <w:t>人民币</w:t>
            </w:r>
            <w:r w:rsidRPr="00CE3F13">
              <w:rPr>
                <w:rFonts w:ascii="宋体" w:eastAsia="宋体" w:hAnsi="宋体" w:cs="Calibri"/>
                <w:kern w:val="0"/>
                <w:sz w:val="18"/>
                <w:szCs w:val="18"/>
              </w:rPr>
              <w:t>A</w:t>
            </w:r>
            <w:r w:rsidR="006A34C3" w:rsidRPr="00CE3F13">
              <w:rPr>
                <w:rFonts w:ascii="宋体" w:eastAsia="宋体" w:hAnsi="宋体" w:cs="Calibri"/>
                <w:kern w:val="0"/>
                <w:sz w:val="18"/>
                <w:szCs w:val="18"/>
              </w:rPr>
              <w:t xml:space="preserve"> </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017093</w:t>
            </w:r>
          </w:p>
        </w:tc>
        <w:tc>
          <w:tcPr>
            <w:tcW w:w="3554" w:type="dxa"/>
            <w:shd w:val="clear" w:color="auto" w:fill="auto"/>
            <w:noWrap/>
            <w:vAlign w:val="bottom"/>
            <w:hideMark/>
          </w:tcPr>
          <w:p w:rsidR="00CE3F13" w:rsidRPr="00CE3F13" w:rsidRDefault="00CE3F13" w:rsidP="006A34C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景顺长城纳斯达克科技市值加权交易型开放式指数证券投资基金发起式联接基金（QDII）</w:t>
            </w:r>
            <w:r w:rsidR="006A34C3" w:rsidRPr="00CE3F13">
              <w:rPr>
                <w:rFonts w:ascii="宋体" w:eastAsia="宋体" w:hAnsi="宋体" w:cs="Calibri"/>
                <w:kern w:val="0"/>
                <w:sz w:val="18"/>
                <w:szCs w:val="18"/>
              </w:rPr>
              <w:t>人民币</w:t>
            </w:r>
            <w:r w:rsidRPr="00CE3F13">
              <w:rPr>
                <w:rFonts w:ascii="宋体" w:eastAsia="宋体" w:hAnsi="宋体" w:cs="Calibri"/>
                <w:kern w:val="0"/>
                <w:sz w:val="18"/>
                <w:szCs w:val="18"/>
              </w:rPr>
              <w:t>C</w:t>
            </w:r>
            <w:r w:rsidR="006A34C3" w:rsidRPr="00CE3F13">
              <w:rPr>
                <w:rFonts w:ascii="宋体" w:eastAsia="宋体" w:hAnsi="宋体" w:cs="Calibri"/>
                <w:kern w:val="0"/>
                <w:sz w:val="18"/>
                <w:szCs w:val="18"/>
              </w:rPr>
              <w:t xml:space="preserve"> </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018294</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景顺长城国企价值混合型证券投资基金A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018295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景顺长城国企价值混合型证券投资基金C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018504</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景顺长城周期优选混合型证券投资基金A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018505</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景顺长城周期优选混合型证券投资基金C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019380</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景顺长城景盛双益债券型证券投资基金A</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是</w:t>
            </w:r>
          </w:p>
        </w:tc>
      </w:tr>
      <w:tr w:rsidR="00CE3F13" w:rsidRPr="00CE3F13" w:rsidTr="00CE3F13">
        <w:trPr>
          <w:trHeight w:val="255"/>
        </w:trPr>
        <w:tc>
          <w:tcPr>
            <w:tcW w:w="988" w:type="dxa"/>
            <w:shd w:val="clear" w:color="auto" w:fill="auto"/>
            <w:noWrap/>
            <w:vAlign w:val="center"/>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019381</w:t>
            </w:r>
          </w:p>
        </w:tc>
        <w:tc>
          <w:tcPr>
            <w:tcW w:w="3554"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景顺长城景盛双益债券型证券投资基金C</w:t>
            </w:r>
          </w:p>
        </w:tc>
        <w:tc>
          <w:tcPr>
            <w:tcW w:w="98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992"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kern w:val="0"/>
                <w:sz w:val="18"/>
                <w:szCs w:val="18"/>
              </w:rPr>
              <w:t>开通</w:t>
            </w:r>
          </w:p>
        </w:tc>
        <w:tc>
          <w:tcPr>
            <w:tcW w:w="1780" w:type="dxa"/>
            <w:shd w:val="clear" w:color="auto" w:fill="auto"/>
            <w:noWrap/>
            <w:vAlign w:val="bottom"/>
            <w:hideMark/>
          </w:tcPr>
          <w:p w:rsidR="00CE3F13" w:rsidRPr="00CE3F13" w:rsidRDefault="00CE3F13" w:rsidP="00CE3F13">
            <w:pPr>
              <w:widowControl/>
              <w:jc w:val="left"/>
              <w:rPr>
                <w:rFonts w:ascii="宋体" w:eastAsia="宋体" w:hAnsi="宋体" w:cs="Calibri"/>
                <w:kern w:val="0"/>
                <w:sz w:val="18"/>
                <w:szCs w:val="18"/>
              </w:rPr>
            </w:pPr>
            <w:r w:rsidRPr="00CE3F13">
              <w:rPr>
                <w:rFonts w:ascii="宋体" w:eastAsia="宋体" w:hAnsi="宋体" w:cs="Calibri" w:hint="eastAsia"/>
                <w:kern w:val="0"/>
                <w:sz w:val="18"/>
                <w:szCs w:val="18"/>
              </w:rPr>
              <w:t>不适用</w:t>
            </w:r>
          </w:p>
        </w:tc>
      </w:tr>
    </w:tbl>
    <w:p w:rsidR="00CE3F13" w:rsidRPr="00CE3F13" w:rsidRDefault="00CE3F13" w:rsidP="00CE3F13">
      <w:pPr>
        <w:widowControl/>
        <w:spacing w:line="360" w:lineRule="auto"/>
        <w:jc w:val="left"/>
        <w:rPr>
          <w:rFonts w:ascii="宋体" w:eastAsia="宋体" w:hAnsi="宋体" w:cs="Arial"/>
          <w:szCs w:val="21"/>
        </w:rPr>
      </w:pPr>
    </w:p>
    <w:p w:rsidR="000225E0" w:rsidRDefault="00C21B09" w:rsidP="003E47FA">
      <w:pPr>
        <w:widowControl/>
        <w:spacing w:line="360" w:lineRule="auto"/>
        <w:ind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注：</w:t>
      </w:r>
      <w:r w:rsidR="000225E0">
        <w:rPr>
          <w:rFonts w:ascii="宋体" w:eastAsia="宋体" w:hAnsi="宋体" w:cs="Arial" w:hint="eastAsia"/>
          <w:color w:val="000000"/>
          <w:kern w:val="0"/>
          <w:szCs w:val="21"/>
        </w:rPr>
        <w:t>（1）</w:t>
      </w:r>
      <w:r w:rsidR="000225E0" w:rsidRPr="000225E0">
        <w:rPr>
          <w:rFonts w:ascii="宋体" w:eastAsia="宋体" w:hAnsi="宋体" w:cs="Arial" w:hint="eastAsia"/>
          <w:color w:val="000000"/>
          <w:kern w:val="0"/>
          <w:szCs w:val="21"/>
        </w:rPr>
        <w:t>景顺长城养老目标日期</w:t>
      </w:r>
      <w:r w:rsidR="000225E0" w:rsidRPr="000225E0">
        <w:rPr>
          <w:rFonts w:ascii="宋体" w:eastAsia="宋体" w:hAnsi="宋体" w:cs="Arial"/>
          <w:color w:val="000000"/>
          <w:kern w:val="0"/>
          <w:szCs w:val="21"/>
        </w:rPr>
        <w:t>2035三年持有期混合型发起式基金中基金（FOF）</w:t>
      </w:r>
      <w:r w:rsidR="006A34C3">
        <w:rPr>
          <w:rFonts w:ascii="宋体" w:eastAsia="宋体" w:hAnsi="宋体" w:cs="Arial" w:hint="eastAsia"/>
          <w:color w:val="000000"/>
          <w:kern w:val="0"/>
          <w:szCs w:val="21"/>
        </w:rPr>
        <w:t>A</w:t>
      </w:r>
      <w:r w:rsidR="000225E0" w:rsidRPr="000225E0">
        <w:rPr>
          <w:rFonts w:ascii="宋体" w:eastAsia="宋体" w:hAnsi="宋体" w:cs="Arial"/>
          <w:color w:val="000000"/>
          <w:kern w:val="0"/>
          <w:szCs w:val="21"/>
        </w:rPr>
        <w:t>仅可与本公司旗下FOF基金进行转换，不可与本公司旗下其他基金进行转换。</w:t>
      </w:r>
    </w:p>
    <w:p w:rsidR="00C21B09" w:rsidRPr="00275D88" w:rsidRDefault="000225E0" w:rsidP="00C21B09">
      <w:pPr>
        <w:widowControl/>
        <w:spacing w:line="360" w:lineRule="auto"/>
        <w:ind w:firstLineChars="200" w:firstLine="420"/>
        <w:jc w:val="left"/>
        <w:rPr>
          <w:rFonts w:ascii="宋体" w:eastAsia="宋体" w:hAnsi="宋体" w:cs="Arial"/>
          <w:color w:val="000000"/>
          <w:szCs w:val="21"/>
        </w:rPr>
      </w:pPr>
      <w:r>
        <w:rPr>
          <w:rFonts w:ascii="宋体" w:eastAsia="宋体" w:hAnsi="宋体" w:cs="Arial" w:hint="eastAsia"/>
          <w:color w:val="000000"/>
          <w:kern w:val="0"/>
          <w:szCs w:val="21"/>
        </w:rPr>
        <w:t>（2）</w:t>
      </w:r>
      <w:r w:rsidR="00C21B09" w:rsidRPr="00275D88">
        <w:rPr>
          <w:rFonts w:ascii="宋体" w:eastAsia="宋体" w:hAnsi="宋体" w:cs="Arial" w:hint="eastAsia"/>
          <w:color w:val="000000"/>
          <w:kern w:val="0"/>
          <w:szCs w:val="21"/>
        </w:rPr>
        <w:t>本公司新增委托</w:t>
      </w:r>
      <w:r w:rsidR="007C4062">
        <w:rPr>
          <w:rFonts w:ascii="宋体" w:eastAsia="宋体" w:hAnsi="宋体" w:cs="Arial" w:hint="eastAsia"/>
          <w:color w:val="000000"/>
          <w:kern w:val="0"/>
          <w:szCs w:val="21"/>
        </w:rPr>
        <w:t>国信证券</w:t>
      </w:r>
      <w:r w:rsidR="00C21B09"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7C4062">
        <w:rPr>
          <w:rFonts w:ascii="宋体" w:eastAsia="宋体" w:hAnsi="宋体" w:cs="Arial" w:hint="eastAsia"/>
          <w:color w:val="000000"/>
          <w:kern w:val="0"/>
          <w:szCs w:val="21"/>
        </w:rPr>
        <w:t>国信证券股份有限公司</w:t>
      </w:r>
    </w:p>
    <w:p w:rsidR="00CE3F13" w:rsidRPr="00CE3F13"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注册地址：深圳市罗湖区红岭中路</w:t>
      </w:r>
      <w:r w:rsidRPr="00CE3F13">
        <w:rPr>
          <w:rFonts w:ascii="宋体" w:eastAsia="宋体" w:hAnsi="宋体" w:cs="Arial"/>
          <w:kern w:val="0"/>
          <w:szCs w:val="21"/>
        </w:rPr>
        <w:t>1012号国信证券大厦十六层至二十六层</w:t>
      </w:r>
    </w:p>
    <w:p w:rsidR="00CE3F13" w:rsidRPr="00CE3F13"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办公地址：　广东省深圳市福田区福华一路</w:t>
      </w:r>
      <w:r w:rsidRPr="00CE3F13">
        <w:rPr>
          <w:rFonts w:ascii="宋体" w:eastAsia="宋体" w:hAnsi="宋体" w:cs="Arial"/>
          <w:kern w:val="0"/>
          <w:szCs w:val="21"/>
        </w:rPr>
        <w:t>125号国信金融大厦</w:t>
      </w:r>
    </w:p>
    <w:p w:rsidR="00CE3F13" w:rsidRPr="00CE3F13"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法定代表人：张纳沙</w:t>
      </w:r>
    </w:p>
    <w:p w:rsidR="00CE3F13" w:rsidRPr="00CE3F13"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联系人：于智勇</w:t>
      </w:r>
    </w:p>
    <w:p w:rsidR="00CE3F13" w:rsidRPr="00CE3F13"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电话：</w:t>
      </w:r>
      <w:r w:rsidRPr="00CE3F13">
        <w:rPr>
          <w:rFonts w:ascii="宋体" w:eastAsia="宋体" w:hAnsi="宋体" w:cs="Arial"/>
          <w:kern w:val="0"/>
          <w:szCs w:val="21"/>
        </w:rPr>
        <w:t>0755-81981259</w:t>
      </w:r>
    </w:p>
    <w:p w:rsidR="00CE3F13" w:rsidRPr="00CE3F13"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客户服务电话</w:t>
      </w:r>
      <w:r w:rsidRPr="00CE3F13">
        <w:rPr>
          <w:rFonts w:ascii="宋体" w:eastAsia="宋体" w:hAnsi="宋体" w:cs="Arial"/>
          <w:kern w:val="0"/>
          <w:szCs w:val="21"/>
        </w:rPr>
        <w:t>:95536</w:t>
      </w:r>
    </w:p>
    <w:p w:rsidR="003E47FA"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网址：</w:t>
      </w:r>
      <w:r w:rsidRPr="00CE3F13">
        <w:rPr>
          <w:rFonts w:ascii="宋体" w:eastAsia="宋体" w:hAnsi="宋体" w:cs="Arial"/>
          <w:kern w:val="0"/>
          <w:szCs w:val="21"/>
        </w:rPr>
        <w:t>www.guosen.com.cn</w:t>
      </w:r>
    </w:p>
    <w:p w:rsidR="00CE3F13" w:rsidRDefault="00CE3F13" w:rsidP="00CE3F13">
      <w:pPr>
        <w:widowControl/>
        <w:spacing w:line="360" w:lineRule="auto"/>
        <w:ind w:firstLineChars="200" w:firstLine="420"/>
        <w:jc w:val="left"/>
        <w:rPr>
          <w:rFonts w:ascii="宋体" w:eastAsia="宋体" w:hAnsi="宋体" w:cs="Arial"/>
          <w:kern w:val="0"/>
          <w:szCs w:val="21"/>
        </w:rPr>
      </w:pPr>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w:t>
      </w:r>
      <w:r w:rsidR="00B41EA6" w:rsidRPr="00B41EA6">
        <w:rPr>
          <w:rFonts w:ascii="宋体" w:eastAsia="宋体" w:hAnsi="宋体" w:cs="Arial"/>
          <w:kern w:val="0"/>
          <w:szCs w:val="21"/>
        </w:rPr>
        <w:t>400-820-2899</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7C4062">
        <w:rPr>
          <w:rFonts w:ascii="宋体" w:eastAsia="宋体" w:hAnsi="宋体" w:cs="Arial" w:hint="eastAsia"/>
          <w:color w:val="000000"/>
          <w:kern w:val="0"/>
          <w:szCs w:val="21"/>
        </w:rPr>
        <w:t>国信证券股份有限公司</w:t>
      </w:r>
    </w:p>
    <w:p w:rsidR="00CE3F13" w:rsidRPr="00CE3F13"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客户服务电话</w:t>
      </w:r>
      <w:r w:rsidRPr="00CE3F13">
        <w:rPr>
          <w:rFonts w:ascii="宋体" w:eastAsia="宋体" w:hAnsi="宋体" w:cs="Arial"/>
          <w:kern w:val="0"/>
          <w:szCs w:val="21"/>
        </w:rPr>
        <w:t>:95536</w:t>
      </w:r>
    </w:p>
    <w:p w:rsidR="006E7DB0" w:rsidRDefault="00CE3F13" w:rsidP="00CE3F13">
      <w:pPr>
        <w:widowControl/>
        <w:spacing w:line="360" w:lineRule="auto"/>
        <w:ind w:firstLineChars="200" w:firstLine="420"/>
        <w:jc w:val="left"/>
        <w:rPr>
          <w:rFonts w:ascii="宋体" w:eastAsia="宋体" w:hAnsi="宋体" w:cs="Arial"/>
          <w:kern w:val="0"/>
          <w:szCs w:val="21"/>
        </w:rPr>
      </w:pPr>
      <w:r w:rsidRPr="00CE3F13">
        <w:rPr>
          <w:rFonts w:ascii="宋体" w:eastAsia="宋体" w:hAnsi="宋体" w:cs="Arial" w:hint="eastAsia"/>
          <w:kern w:val="0"/>
          <w:szCs w:val="21"/>
        </w:rPr>
        <w:t>网址：</w:t>
      </w:r>
      <w:r w:rsidRPr="00CE3F13">
        <w:rPr>
          <w:rFonts w:ascii="宋体" w:eastAsia="宋体" w:hAnsi="宋体" w:cs="Arial"/>
          <w:kern w:val="0"/>
          <w:szCs w:val="21"/>
        </w:rPr>
        <w:t>www.guosen.com.cn</w:t>
      </w:r>
    </w:p>
    <w:p w:rsidR="00CE3F13" w:rsidRPr="003E47FA" w:rsidRDefault="00CE3F13" w:rsidP="00CE3F13">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9C4ECF" w:rsidRPr="006A34C3" w:rsidRDefault="00C21B09" w:rsidP="006A34C3">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727B89">
        <w:rPr>
          <w:rFonts w:ascii="宋体" w:eastAsia="宋体" w:hAnsi="宋体" w:cs="Arial" w:hint="eastAsia"/>
          <w:kern w:val="0"/>
          <w:szCs w:val="21"/>
        </w:rPr>
        <w:t>四</w:t>
      </w:r>
      <w:r w:rsidRPr="00275D88">
        <w:rPr>
          <w:rFonts w:ascii="宋体" w:eastAsia="宋体" w:hAnsi="宋体" w:cs="Arial"/>
          <w:kern w:val="0"/>
          <w:szCs w:val="21"/>
        </w:rPr>
        <w:t>年</w:t>
      </w:r>
      <w:r w:rsidR="00CE3F13">
        <w:rPr>
          <w:rFonts w:ascii="宋体" w:eastAsia="宋体" w:hAnsi="宋体" w:cs="Arial" w:hint="eastAsia"/>
          <w:kern w:val="0"/>
          <w:szCs w:val="21"/>
        </w:rPr>
        <w:t>五</w:t>
      </w:r>
      <w:r w:rsidRPr="00275D88">
        <w:rPr>
          <w:rFonts w:ascii="宋体" w:eastAsia="宋体" w:hAnsi="宋体" w:cs="Arial"/>
          <w:kern w:val="0"/>
          <w:szCs w:val="21"/>
        </w:rPr>
        <w:t>月</w:t>
      </w:r>
      <w:r w:rsidR="00CE3F13">
        <w:rPr>
          <w:rFonts w:ascii="宋体" w:eastAsia="宋体" w:hAnsi="宋体" w:cs="Arial" w:hint="eastAsia"/>
          <w:kern w:val="0"/>
          <w:szCs w:val="21"/>
        </w:rPr>
        <w:t>二十一</w:t>
      </w:r>
      <w:r w:rsidRPr="00275D88">
        <w:rPr>
          <w:rFonts w:ascii="宋体" w:eastAsia="宋体" w:hAnsi="宋体" w:cs="Arial"/>
          <w:kern w:val="0"/>
          <w:szCs w:val="21"/>
        </w:rPr>
        <w:t>日</w:t>
      </w:r>
    </w:p>
    <w:sectPr w:rsidR="009C4ECF" w:rsidRPr="006A34C3" w:rsidSect="001A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F4" w:rsidRDefault="002774F4" w:rsidP="00484A24">
      <w:r>
        <w:separator/>
      </w:r>
    </w:p>
  </w:endnote>
  <w:endnote w:type="continuationSeparator" w:id="0">
    <w:p w:rsidR="002774F4" w:rsidRDefault="002774F4" w:rsidP="0048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F4" w:rsidRDefault="002774F4" w:rsidP="00484A24">
      <w:r>
        <w:separator/>
      </w:r>
    </w:p>
  </w:footnote>
  <w:footnote w:type="continuationSeparator" w:id="0">
    <w:p w:rsidR="002774F4" w:rsidRDefault="002774F4" w:rsidP="00484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790E"/>
    <w:multiLevelType w:val="hybridMultilevel"/>
    <w:tmpl w:val="6B1EDBCA"/>
    <w:lvl w:ilvl="0" w:tplc="2804939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225E0"/>
    <w:rsid w:val="0004572D"/>
    <w:rsid w:val="00087DB9"/>
    <w:rsid w:val="000B3594"/>
    <w:rsid w:val="000F1CDE"/>
    <w:rsid w:val="00134C88"/>
    <w:rsid w:val="00143949"/>
    <w:rsid w:val="00157004"/>
    <w:rsid w:val="00160087"/>
    <w:rsid w:val="00163206"/>
    <w:rsid w:val="00174F83"/>
    <w:rsid w:val="001A0967"/>
    <w:rsid w:val="001A1770"/>
    <w:rsid w:val="001B7F12"/>
    <w:rsid w:val="001E4548"/>
    <w:rsid w:val="00200C90"/>
    <w:rsid w:val="00216991"/>
    <w:rsid w:val="00220BAF"/>
    <w:rsid w:val="00275D88"/>
    <w:rsid w:val="002774F4"/>
    <w:rsid w:val="002822A9"/>
    <w:rsid w:val="002C4589"/>
    <w:rsid w:val="002C6047"/>
    <w:rsid w:val="003E16A6"/>
    <w:rsid w:val="003E47FA"/>
    <w:rsid w:val="00403445"/>
    <w:rsid w:val="00484A24"/>
    <w:rsid w:val="004B6310"/>
    <w:rsid w:val="004C56E7"/>
    <w:rsid w:val="0050197F"/>
    <w:rsid w:val="0050764C"/>
    <w:rsid w:val="005143B9"/>
    <w:rsid w:val="00527A9B"/>
    <w:rsid w:val="0053504F"/>
    <w:rsid w:val="00547C38"/>
    <w:rsid w:val="00561FF4"/>
    <w:rsid w:val="00566782"/>
    <w:rsid w:val="00566D4E"/>
    <w:rsid w:val="005E6624"/>
    <w:rsid w:val="00603B86"/>
    <w:rsid w:val="006801C5"/>
    <w:rsid w:val="006802E0"/>
    <w:rsid w:val="006A3043"/>
    <w:rsid w:val="006A34C3"/>
    <w:rsid w:val="006E6DD9"/>
    <w:rsid w:val="006E7DB0"/>
    <w:rsid w:val="00727B89"/>
    <w:rsid w:val="007953C7"/>
    <w:rsid w:val="007C4062"/>
    <w:rsid w:val="007E5331"/>
    <w:rsid w:val="008038EA"/>
    <w:rsid w:val="008152BF"/>
    <w:rsid w:val="008458E8"/>
    <w:rsid w:val="008552FD"/>
    <w:rsid w:val="00862005"/>
    <w:rsid w:val="008B2A21"/>
    <w:rsid w:val="008C7626"/>
    <w:rsid w:val="008F1D54"/>
    <w:rsid w:val="00981D3D"/>
    <w:rsid w:val="0098563E"/>
    <w:rsid w:val="00990913"/>
    <w:rsid w:val="009C4ECF"/>
    <w:rsid w:val="009C6B57"/>
    <w:rsid w:val="009D7868"/>
    <w:rsid w:val="009E29FC"/>
    <w:rsid w:val="00A11CD2"/>
    <w:rsid w:val="00A6218D"/>
    <w:rsid w:val="00A625A8"/>
    <w:rsid w:val="00A71C46"/>
    <w:rsid w:val="00A779BC"/>
    <w:rsid w:val="00AD4B0E"/>
    <w:rsid w:val="00AF3C54"/>
    <w:rsid w:val="00B06DBD"/>
    <w:rsid w:val="00B22BB0"/>
    <w:rsid w:val="00B33273"/>
    <w:rsid w:val="00B41EA6"/>
    <w:rsid w:val="00B4510C"/>
    <w:rsid w:val="00B679B0"/>
    <w:rsid w:val="00B94043"/>
    <w:rsid w:val="00BC7C2E"/>
    <w:rsid w:val="00BE72B1"/>
    <w:rsid w:val="00C21B09"/>
    <w:rsid w:val="00C64448"/>
    <w:rsid w:val="00C846EE"/>
    <w:rsid w:val="00CA368A"/>
    <w:rsid w:val="00CB7407"/>
    <w:rsid w:val="00CD3D64"/>
    <w:rsid w:val="00CE3F13"/>
    <w:rsid w:val="00D404C2"/>
    <w:rsid w:val="00E45CB2"/>
    <w:rsid w:val="00E74E5E"/>
    <w:rsid w:val="00E758CB"/>
    <w:rsid w:val="00E87CF1"/>
    <w:rsid w:val="00ED22A4"/>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table" w:styleId="ac">
    <w:name w:val="Table Grid"/>
    <w:basedOn w:val="a1"/>
    <w:uiPriority w:val="39"/>
    <w:rsid w:val="003E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E3F13"/>
    <w:pPr>
      <w:ind w:firstLineChars="200" w:firstLine="420"/>
    </w:pPr>
  </w:style>
</w:styles>
</file>

<file path=word/webSettings.xml><?xml version="1.0" encoding="utf-8"?>
<w:webSettings xmlns:r="http://schemas.openxmlformats.org/officeDocument/2006/relationships" xmlns:w="http://schemas.openxmlformats.org/wordprocessingml/2006/main">
  <w:divs>
    <w:div w:id="96754552">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18371056">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58565982">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487987359">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854536265">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4396855">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52872417">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61800918">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1993682522">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4</DocSecurity>
  <Lines>38</Lines>
  <Paragraphs>10</Paragraphs>
  <ScaleCrop>false</ScaleCrop>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2024-05-20T16:01:00Z</dcterms:created>
  <dcterms:modified xsi:type="dcterms:W3CDTF">2024-05-20T16:01:00Z</dcterms:modified>
</cp:coreProperties>
</file>