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79D" w:rsidRDefault="00F72707">
      <w:pPr>
        <w:spacing w:line="360" w:lineRule="auto"/>
        <w:jc w:val="center"/>
        <w:rPr>
          <w:rFonts w:ascii="仿宋" w:eastAsia="仿宋" w:hAnsi="仿宋" w:cs="Times New Roman"/>
          <w:b/>
          <w:sz w:val="28"/>
          <w:szCs w:val="28"/>
        </w:rPr>
      </w:pPr>
      <w:r>
        <w:rPr>
          <w:rFonts w:ascii="仿宋" w:eastAsia="仿宋" w:hAnsi="仿宋" w:cs="Times New Roman" w:hint="eastAsia"/>
          <w:b/>
          <w:sz w:val="28"/>
          <w:szCs w:val="28"/>
        </w:rPr>
        <w:t>华泰证券（上海）资产管理有限公司关于旗下部分基金开通转换业务的公告</w:t>
      </w:r>
    </w:p>
    <w:p w:rsidR="0020179D" w:rsidRDefault="0020179D">
      <w:pPr>
        <w:spacing w:line="360" w:lineRule="auto"/>
        <w:rPr>
          <w:rFonts w:ascii="仿宋" w:eastAsia="仿宋" w:hAnsi="仿宋" w:cs="Times New Roman"/>
          <w:sz w:val="28"/>
          <w:szCs w:val="28"/>
        </w:rPr>
      </w:pPr>
    </w:p>
    <w:p w:rsidR="0020179D" w:rsidRDefault="00F72707">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为更好地满足广大投资者的理财需求，华泰证券（上海）资产管理有限公司（以下简称</w:t>
      </w:r>
      <w:r>
        <w:rPr>
          <w:rFonts w:ascii="仿宋" w:eastAsia="仿宋" w:hAnsi="仿宋" w:cs="Times New Roman"/>
          <w:sz w:val="28"/>
          <w:szCs w:val="28"/>
        </w:rPr>
        <w:t xml:space="preserve"> “</w:t>
      </w:r>
      <w:r>
        <w:rPr>
          <w:rFonts w:ascii="仿宋" w:eastAsia="仿宋" w:hAnsi="仿宋" w:cs="Times New Roman"/>
          <w:sz w:val="28"/>
          <w:szCs w:val="28"/>
        </w:rPr>
        <w:t>本公司</w:t>
      </w:r>
      <w:r>
        <w:rPr>
          <w:rFonts w:ascii="仿宋" w:eastAsia="仿宋" w:hAnsi="仿宋" w:cs="Times New Roman"/>
          <w:sz w:val="28"/>
          <w:szCs w:val="28"/>
        </w:rPr>
        <w:t>”</w:t>
      </w:r>
      <w:r>
        <w:rPr>
          <w:rFonts w:ascii="仿宋" w:eastAsia="仿宋" w:hAnsi="仿宋" w:cs="Times New Roman"/>
          <w:sz w:val="28"/>
          <w:szCs w:val="28"/>
        </w:rPr>
        <w:t>）决定自</w:t>
      </w:r>
      <w:r>
        <w:rPr>
          <w:rFonts w:ascii="仿宋" w:eastAsia="仿宋" w:hAnsi="仿宋" w:cs="Times New Roman"/>
          <w:sz w:val="28"/>
          <w:szCs w:val="28"/>
        </w:rPr>
        <w:t>2024</w:t>
      </w:r>
      <w:r>
        <w:rPr>
          <w:rFonts w:ascii="仿宋" w:eastAsia="仿宋" w:hAnsi="仿宋" w:cs="Times New Roman"/>
          <w:sz w:val="28"/>
          <w:szCs w:val="28"/>
        </w:rPr>
        <w:t>年</w:t>
      </w:r>
      <w:r>
        <w:rPr>
          <w:rFonts w:ascii="仿宋" w:eastAsia="仿宋" w:hAnsi="仿宋" w:cs="Times New Roman"/>
          <w:sz w:val="28"/>
          <w:szCs w:val="28"/>
        </w:rPr>
        <w:t>5</w:t>
      </w:r>
      <w:r>
        <w:rPr>
          <w:rFonts w:ascii="仿宋" w:eastAsia="仿宋" w:hAnsi="仿宋" w:cs="Times New Roman"/>
          <w:sz w:val="28"/>
          <w:szCs w:val="28"/>
        </w:rPr>
        <w:t>月</w:t>
      </w:r>
      <w:r>
        <w:rPr>
          <w:rFonts w:ascii="仿宋" w:eastAsia="仿宋" w:hAnsi="仿宋" w:cs="Times New Roman"/>
          <w:sz w:val="28"/>
          <w:szCs w:val="28"/>
        </w:rPr>
        <w:t>20</w:t>
      </w:r>
      <w:r>
        <w:rPr>
          <w:rFonts w:ascii="仿宋" w:eastAsia="仿宋" w:hAnsi="仿宋" w:cs="Times New Roman"/>
          <w:sz w:val="28"/>
          <w:szCs w:val="28"/>
        </w:rPr>
        <w:t>日起，开通</w:t>
      </w:r>
      <w:r>
        <w:rPr>
          <w:rFonts w:ascii="仿宋" w:eastAsia="仿宋" w:hAnsi="仿宋" w:cs="Times New Roman" w:hint="eastAsia"/>
          <w:sz w:val="28"/>
          <w:szCs w:val="28"/>
        </w:rPr>
        <w:t>华泰紫金天天金交易型货币市场基金（仅</w:t>
      </w:r>
      <w:r>
        <w:rPr>
          <w:rFonts w:ascii="仿宋" w:eastAsia="仿宋" w:hAnsi="仿宋" w:cs="Times New Roman" w:hint="eastAsia"/>
          <w:sz w:val="28"/>
          <w:szCs w:val="28"/>
        </w:rPr>
        <w:t>B</w:t>
      </w:r>
      <w:r>
        <w:rPr>
          <w:rFonts w:ascii="仿宋" w:eastAsia="仿宋" w:hAnsi="仿宋" w:cs="Times New Roman" w:hint="eastAsia"/>
          <w:sz w:val="28"/>
          <w:szCs w:val="28"/>
        </w:rPr>
        <w:t>份额，</w:t>
      </w:r>
      <w:r>
        <w:rPr>
          <w:rFonts w:ascii="仿宋" w:eastAsia="仿宋" w:hAnsi="仿宋" w:cs="Times New Roman" w:hint="eastAsia"/>
          <w:sz w:val="28"/>
          <w:szCs w:val="28"/>
        </w:rPr>
        <w:t>B</w:t>
      </w:r>
      <w:r>
        <w:rPr>
          <w:rFonts w:ascii="仿宋" w:eastAsia="仿宋" w:hAnsi="仿宋" w:cs="Times New Roman"/>
          <w:sz w:val="28"/>
          <w:szCs w:val="28"/>
        </w:rPr>
        <w:t>份额基金代码：</w:t>
      </w:r>
      <w:r>
        <w:rPr>
          <w:rFonts w:ascii="仿宋" w:eastAsia="仿宋" w:hAnsi="仿宋" w:cs="Times New Roman"/>
          <w:sz w:val="28"/>
          <w:szCs w:val="28"/>
        </w:rPr>
        <w:t>004749</w:t>
      </w:r>
      <w:r>
        <w:rPr>
          <w:rFonts w:ascii="仿宋" w:eastAsia="仿宋" w:hAnsi="仿宋" w:cs="Times New Roman"/>
          <w:sz w:val="28"/>
          <w:szCs w:val="28"/>
        </w:rPr>
        <w:t>）与华泰紫金货币增利货币市场基金（仅</w:t>
      </w:r>
      <w:r>
        <w:rPr>
          <w:rFonts w:ascii="仿宋" w:eastAsia="仿宋" w:hAnsi="仿宋" w:cs="Times New Roman"/>
          <w:sz w:val="28"/>
          <w:szCs w:val="28"/>
        </w:rPr>
        <w:t>A</w:t>
      </w:r>
      <w:r>
        <w:rPr>
          <w:rFonts w:ascii="仿宋" w:eastAsia="仿宋" w:hAnsi="仿宋" w:cs="Times New Roman"/>
          <w:sz w:val="28"/>
          <w:szCs w:val="28"/>
        </w:rPr>
        <w:t>、</w:t>
      </w:r>
      <w:r>
        <w:rPr>
          <w:rFonts w:ascii="仿宋" w:eastAsia="仿宋" w:hAnsi="仿宋" w:cs="Times New Roman"/>
          <w:sz w:val="28"/>
          <w:szCs w:val="28"/>
        </w:rPr>
        <w:t>B</w:t>
      </w:r>
      <w:r>
        <w:rPr>
          <w:rFonts w:ascii="仿宋" w:eastAsia="仿宋" w:hAnsi="仿宋" w:cs="Times New Roman"/>
          <w:sz w:val="28"/>
          <w:szCs w:val="28"/>
        </w:rPr>
        <w:t>份额，</w:t>
      </w:r>
      <w:r>
        <w:rPr>
          <w:rFonts w:ascii="仿宋" w:eastAsia="仿宋" w:hAnsi="仿宋" w:cs="Times New Roman"/>
          <w:sz w:val="28"/>
          <w:szCs w:val="28"/>
        </w:rPr>
        <w:t>A</w:t>
      </w:r>
      <w:r>
        <w:rPr>
          <w:rFonts w:ascii="仿宋" w:eastAsia="仿宋" w:hAnsi="仿宋" w:cs="Times New Roman"/>
          <w:sz w:val="28"/>
          <w:szCs w:val="28"/>
        </w:rPr>
        <w:t>份额基金代码：</w:t>
      </w:r>
      <w:r>
        <w:rPr>
          <w:rFonts w:ascii="仿宋" w:eastAsia="仿宋" w:hAnsi="仿宋" w:cs="Times New Roman"/>
          <w:sz w:val="28"/>
          <w:szCs w:val="28"/>
        </w:rPr>
        <w:t>015649</w:t>
      </w:r>
      <w:r>
        <w:rPr>
          <w:rFonts w:ascii="仿宋" w:eastAsia="仿宋" w:hAnsi="仿宋" w:cs="Times New Roman"/>
          <w:sz w:val="28"/>
          <w:szCs w:val="28"/>
        </w:rPr>
        <w:t>，</w:t>
      </w:r>
      <w:r>
        <w:rPr>
          <w:rFonts w:ascii="仿宋" w:eastAsia="仿宋" w:hAnsi="仿宋" w:cs="Times New Roman"/>
          <w:sz w:val="28"/>
          <w:szCs w:val="28"/>
        </w:rPr>
        <w:t>B</w:t>
      </w:r>
      <w:r>
        <w:rPr>
          <w:rFonts w:ascii="仿宋" w:eastAsia="仿宋" w:hAnsi="仿宋" w:cs="Times New Roman"/>
          <w:sz w:val="28"/>
          <w:szCs w:val="28"/>
        </w:rPr>
        <w:t>份额基金代码：</w:t>
      </w:r>
      <w:r>
        <w:rPr>
          <w:rFonts w:ascii="仿宋" w:eastAsia="仿宋" w:hAnsi="仿宋" w:cs="Times New Roman"/>
          <w:sz w:val="28"/>
          <w:szCs w:val="28"/>
        </w:rPr>
        <w:t>015650</w:t>
      </w:r>
      <w:r>
        <w:rPr>
          <w:rFonts w:ascii="仿宋" w:eastAsia="仿宋" w:hAnsi="仿宋" w:cs="Times New Roman"/>
          <w:sz w:val="28"/>
          <w:szCs w:val="28"/>
        </w:rPr>
        <w:t>）基金转换业务。</w:t>
      </w:r>
    </w:p>
    <w:p w:rsidR="0020179D" w:rsidRDefault="00F72707">
      <w:pPr>
        <w:spacing w:line="360" w:lineRule="auto"/>
        <w:ind w:firstLineChars="187" w:firstLine="526"/>
        <w:rPr>
          <w:rFonts w:ascii="仿宋" w:eastAsia="仿宋" w:hAnsi="仿宋" w:cs="Times New Roman"/>
          <w:b/>
          <w:sz w:val="28"/>
          <w:szCs w:val="28"/>
        </w:rPr>
      </w:pPr>
      <w:r>
        <w:rPr>
          <w:rFonts w:ascii="仿宋" w:eastAsia="仿宋" w:hAnsi="仿宋" w:cs="Times New Roman" w:hint="eastAsia"/>
          <w:b/>
          <w:sz w:val="28"/>
          <w:szCs w:val="28"/>
        </w:rPr>
        <w:t>一、基金转换费用的计算</w:t>
      </w:r>
    </w:p>
    <w:p w:rsidR="0020179D" w:rsidRDefault="00F72707">
      <w:pPr>
        <w:spacing w:line="360" w:lineRule="auto"/>
        <w:ind w:firstLineChars="187" w:firstLine="524"/>
        <w:rPr>
          <w:rFonts w:ascii="仿宋" w:eastAsia="仿宋" w:hAnsi="仿宋" w:cs="Times New Roman"/>
          <w:sz w:val="28"/>
          <w:szCs w:val="28"/>
        </w:rPr>
      </w:pPr>
      <w:r>
        <w:rPr>
          <w:rFonts w:ascii="仿宋" w:eastAsia="仿宋" w:hAnsi="仿宋" w:cs="Times New Roman"/>
          <w:sz w:val="28"/>
          <w:szCs w:val="28"/>
        </w:rPr>
        <w:t>1</w:t>
      </w:r>
      <w:r>
        <w:rPr>
          <w:rFonts w:ascii="仿宋" w:eastAsia="仿宋" w:hAnsi="仿宋" w:cs="Times New Roman"/>
          <w:sz w:val="28"/>
          <w:szCs w:val="28"/>
        </w:rPr>
        <w:t>、转换费用构成</w:t>
      </w:r>
    </w:p>
    <w:p w:rsidR="0020179D" w:rsidRDefault="00F72707">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基金转换费用由转出基金份额赎回费用及转出与转入基金份额申购补差费用构成。转换费用以人民币元为单位，计算结果按照四舍五入方法，保留小数点后两位。基金转换费用由投资者承担。</w:t>
      </w:r>
    </w:p>
    <w:p w:rsidR="0020179D" w:rsidRDefault="00F72707">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w:t>
      </w:r>
      <w:r>
        <w:rPr>
          <w:rFonts w:ascii="仿宋" w:eastAsia="仿宋" w:hAnsi="仿宋" w:cs="Times New Roman"/>
          <w:sz w:val="28"/>
          <w:szCs w:val="28"/>
        </w:rPr>
        <w:t>1</w:t>
      </w:r>
      <w:r>
        <w:rPr>
          <w:rFonts w:ascii="仿宋" w:eastAsia="仿宋" w:hAnsi="仿宋" w:cs="Times New Roman"/>
          <w:sz w:val="28"/>
          <w:szCs w:val="28"/>
        </w:rPr>
        <w:t>）赎回费</w:t>
      </w:r>
    </w:p>
    <w:p w:rsidR="0020179D" w:rsidRDefault="00F72707">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在进行基金转换时，转出基金份额视同赎回申请，收取该基金份额的赎回费用。本公司旗下基金的赎回费率及相应赎回费用计入基金财产的比例等详见各基金的招募说明书。</w:t>
      </w:r>
    </w:p>
    <w:p w:rsidR="0020179D" w:rsidRDefault="00F72707">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同一笔转换业务中包含不同持有时间的基金份额，分别按照持有时间收取相应的赎回费用。</w:t>
      </w:r>
    </w:p>
    <w:p w:rsidR="0020179D" w:rsidRDefault="00F72707">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w:t>
      </w:r>
      <w:r>
        <w:rPr>
          <w:rFonts w:ascii="仿宋" w:eastAsia="仿宋" w:hAnsi="仿宋" w:cs="Times New Roman"/>
          <w:sz w:val="28"/>
          <w:szCs w:val="28"/>
        </w:rPr>
        <w:t>2</w:t>
      </w:r>
      <w:r>
        <w:rPr>
          <w:rFonts w:ascii="仿宋" w:eastAsia="仿宋" w:hAnsi="仿宋" w:cs="Times New Roman"/>
          <w:sz w:val="28"/>
          <w:szCs w:val="28"/>
        </w:rPr>
        <w:t>）申购补差费</w:t>
      </w:r>
    </w:p>
    <w:p w:rsidR="0020179D" w:rsidRDefault="00F72707">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开放式基金份额之间进行转换的，按照转出基金份额以及转入基金份额各自对应的申</w:t>
      </w:r>
      <w:r>
        <w:rPr>
          <w:rFonts w:ascii="仿宋" w:eastAsia="仿宋" w:hAnsi="仿宋" w:cs="Times New Roman" w:hint="eastAsia"/>
          <w:sz w:val="28"/>
          <w:szCs w:val="28"/>
        </w:rPr>
        <w:t>购费率，分别计算转换申请日转出基金份额和转入基金份额的申购费。如转入基金份额的申购费大于转出基金份额的申购费，补差费为转入基金份额的申购费与转出基金份额的申购费差额；如转入基金份额的申购费小于等于转出基金份额的申购费，则补</w:t>
      </w:r>
      <w:r>
        <w:rPr>
          <w:rFonts w:ascii="仿宋" w:eastAsia="仿宋" w:hAnsi="仿宋" w:cs="Times New Roman" w:hint="eastAsia"/>
          <w:sz w:val="28"/>
          <w:szCs w:val="28"/>
        </w:rPr>
        <w:lastRenderedPageBreak/>
        <w:t>差费为</w:t>
      </w:r>
      <w:r>
        <w:rPr>
          <w:rFonts w:ascii="仿宋" w:eastAsia="仿宋" w:hAnsi="仿宋" w:cs="Times New Roman"/>
          <w:sz w:val="28"/>
          <w:szCs w:val="28"/>
        </w:rPr>
        <w:t>0</w:t>
      </w:r>
      <w:r>
        <w:rPr>
          <w:rFonts w:ascii="仿宋" w:eastAsia="仿宋" w:hAnsi="仿宋" w:cs="Times New Roman"/>
          <w:sz w:val="28"/>
          <w:szCs w:val="28"/>
        </w:rPr>
        <w:t>。</w:t>
      </w:r>
    </w:p>
    <w:p w:rsidR="0020179D" w:rsidRDefault="00F72707">
      <w:pPr>
        <w:spacing w:line="360" w:lineRule="auto"/>
        <w:ind w:firstLineChars="187" w:firstLine="524"/>
        <w:rPr>
          <w:rFonts w:ascii="仿宋" w:eastAsia="仿宋" w:hAnsi="仿宋" w:cs="Times New Roman"/>
          <w:sz w:val="28"/>
          <w:szCs w:val="28"/>
        </w:rPr>
      </w:pPr>
      <w:r>
        <w:rPr>
          <w:rFonts w:ascii="仿宋" w:eastAsia="仿宋" w:hAnsi="仿宋" w:cs="Times New Roman"/>
          <w:sz w:val="28"/>
          <w:szCs w:val="28"/>
        </w:rPr>
        <w:t>2</w:t>
      </w:r>
      <w:r>
        <w:rPr>
          <w:rFonts w:ascii="仿宋" w:eastAsia="仿宋" w:hAnsi="仿宋" w:cs="Times New Roman"/>
          <w:sz w:val="28"/>
          <w:szCs w:val="28"/>
        </w:rPr>
        <w:t>、转换费用计算</w:t>
      </w:r>
    </w:p>
    <w:p w:rsidR="0020179D" w:rsidRDefault="00F72707">
      <w:pPr>
        <w:spacing w:line="360" w:lineRule="auto"/>
        <w:ind w:firstLineChars="187" w:firstLine="524"/>
        <w:rPr>
          <w:rFonts w:ascii="仿宋" w:eastAsia="仿宋" w:hAnsi="仿宋" w:cs="Times New Roman"/>
          <w:sz w:val="28"/>
          <w:szCs w:val="28"/>
        </w:rPr>
      </w:pPr>
      <w:r>
        <w:rPr>
          <w:rFonts w:ascii="仿宋" w:eastAsia="仿宋" w:hAnsi="仿宋" w:cs="Times New Roman"/>
          <w:sz w:val="28"/>
          <w:szCs w:val="28"/>
        </w:rPr>
        <w:t xml:space="preserve">(1) </w:t>
      </w:r>
      <w:r>
        <w:rPr>
          <w:rFonts w:ascii="仿宋" w:eastAsia="仿宋" w:hAnsi="仿宋" w:cs="Times New Roman"/>
          <w:sz w:val="28"/>
          <w:szCs w:val="28"/>
        </w:rPr>
        <w:t>基金转出时赎回费的计算</w:t>
      </w:r>
    </w:p>
    <w:p w:rsidR="0020179D" w:rsidRDefault="00F72707">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转出基金赎回费</w:t>
      </w:r>
      <w:r>
        <w:rPr>
          <w:rFonts w:ascii="仿宋" w:eastAsia="仿宋" w:hAnsi="仿宋" w:cs="Times New Roman"/>
          <w:sz w:val="28"/>
          <w:szCs w:val="28"/>
        </w:rPr>
        <w:t>=</w:t>
      </w:r>
      <w:r>
        <w:rPr>
          <w:rFonts w:ascii="仿宋" w:eastAsia="仿宋" w:hAnsi="仿宋" w:cs="Times New Roman"/>
          <w:sz w:val="28"/>
          <w:szCs w:val="28"/>
        </w:rPr>
        <w:t>转出金额</w:t>
      </w:r>
      <w:r>
        <w:rPr>
          <w:rFonts w:ascii="仿宋" w:eastAsia="仿宋" w:hAnsi="仿宋" w:cs="Times New Roman"/>
          <w:sz w:val="28"/>
          <w:szCs w:val="28"/>
        </w:rPr>
        <w:t>×</w:t>
      </w:r>
      <w:r>
        <w:rPr>
          <w:rFonts w:ascii="仿宋" w:eastAsia="仿宋" w:hAnsi="仿宋" w:cs="Times New Roman"/>
          <w:sz w:val="28"/>
          <w:szCs w:val="28"/>
        </w:rPr>
        <w:t>转出基金赎回费率</w:t>
      </w:r>
    </w:p>
    <w:p w:rsidR="0020179D" w:rsidRDefault="00F72707">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转出金额</w:t>
      </w:r>
      <w:r>
        <w:rPr>
          <w:rFonts w:ascii="仿宋" w:eastAsia="仿宋" w:hAnsi="仿宋" w:cs="Times New Roman"/>
          <w:sz w:val="28"/>
          <w:szCs w:val="28"/>
        </w:rPr>
        <w:t>=</w:t>
      </w:r>
      <w:r>
        <w:rPr>
          <w:rFonts w:ascii="仿宋" w:eastAsia="仿宋" w:hAnsi="仿宋" w:cs="Times New Roman"/>
          <w:sz w:val="28"/>
          <w:szCs w:val="28"/>
        </w:rPr>
        <w:t>转出份额</w:t>
      </w:r>
      <w:r>
        <w:rPr>
          <w:rFonts w:ascii="仿宋" w:eastAsia="仿宋" w:hAnsi="仿宋" w:cs="Times New Roman"/>
          <w:sz w:val="28"/>
          <w:szCs w:val="28"/>
        </w:rPr>
        <w:t>×</w:t>
      </w:r>
      <w:r>
        <w:rPr>
          <w:rFonts w:ascii="仿宋" w:eastAsia="仿宋" w:hAnsi="仿宋" w:cs="Times New Roman"/>
          <w:sz w:val="28"/>
          <w:szCs w:val="28"/>
        </w:rPr>
        <w:t>转出基金当日基金份额净值</w:t>
      </w:r>
    </w:p>
    <w:p w:rsidR="0020179D" w:rsidRDefault="00F72707">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转出净额</w:t>
      </w:r>
      <w:r>
        <w:rPr>
          <w:rFonts w:ascii="仿宋" w:eastAsia="仿宋" w:hAnsi="仿宋" w:cs="Times New Roman"/>
          <w:sz w:val="28"/>
          <w:szCs w:val="28"/>
        </w:rPr>
        <w:t xml:space="preserve"> = </w:t>
      </w:r>
      <w:r>
        <w:rPr>
          <w:rFonts w:ascii="仿宋" w:eastAsia="仿宋" w:hAnsi="仿宋" w:cs="Times New Roman"/>
          <w:sz w:val="28"/>
          <w:szCs w:val="28"/>
        </w:rPr>
        <w:t>转出金额－转出基金赎回费</w:t>
      </w:r>
    </w:p>
    <w:p w:rsidR="0020179D" w:rsidRDefault="00F72707">
      <w:pPr>
        <w:spacing w:line="360" w:lineRule="auto"/>
        <w:ind w:firstLineChars="187" w:firstLine="524"/>
        <w:rPr>
          <w:rFonts w:ascii="仿宋" w:eastAsia="仿宋" w:hAnsi="仿宋" w:cs="Times New Roman"/>
          <w:sz w:val="28"/>
          <w:szCs w:val="28"/>
        </w:rPr>
      </w:pPr>
      <w:r>
        <w:rPr>
          <w:rFonts w:ascii="仿宋" w:eastAsia="仿宋" w:hAnsi="仿宋" w:cs="Times New Roman"/>
          <w:sz w:val="28"/>
          <w:szCs w:val="28"/>
        </w:rPr>
        <w:t xml:space="preserve">(2) </w:t>
      </w:r>
      <w:r>
        <w:rPr>
          <w:rFonts w:ascii="仿宋" w:eastAsia="仿宋" w:hAnsi="仿宋" w:cs="Times New Roman"/>
          <w:sz w:val="28"/>
          <w:szCs w:val="28"/>
        </w:rPr>
        <w:t>基金转入时申购补差费的计算</w:t>
      </w:r>
    </w:p>
    <w:p w:rsidR="0020179D" w:rsidRDefault="00F72707">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转出基金申购费</w:t>
      </w:r>
      <w:r>
        <w:rPr>
          <w:rFonts w:ascii="仿宋" w:eastAsia="仿宋" w:hAnsi="仿宋" w:cs="Times New Roman"/>
          <w:sz w:val="28"/>
          <w:szCs w:val="28"/>
        </w:rPr>
        <w:t>=</w:t>
      </w:r>
      <w:r>
        <w:rPr>
          <w:rFonts w:ascii="仿宋" w:eastAsia="仿宋" w:hAnsi="仿宋" w:cs="Times New Roman"/>
          <w:sz w:val="28"/>
          <w:szCs w:val="28"/>
        </w:rPr>
        <w:t>转出净额－转出净额</w:t>
      </w:r>
      <w:r>
        <w:rPr>
          <w:rFonts w:ascii="仿宋" w:eastAsia="仿宋" w:hAnsi="仿宋" w:cs="Times New Roman"/>
          <w:sz w:val="28"/>
          <w:szCs w:val="28"/>
        </w:rPr>
        <w:t>/</w:t>
      </w:r>
      <w:r>
        <w:rPr>
          <w:rFonts w:ascii="仿宋" w:eastAsia="仿宋" w:hAnsi="仿宋" w:cs="Times New Roman"/>
          <w:sz w:val="28"/>
          <w:szCs w:val="28"/>
        </w:rPr>
        <w:t>（</w:t>
      </w:r>
      <w:r>
        <w:rPr>
          <w:rFonts w:ascii="仿宋" w:eastAsia="仿宋" w:hAnsi="仿宋" w:cs="Times New Roman"/>
          <w:sz w:val="28"/>
          <w:szCs w:val="28"/>
        </w:rPr>
        <w:t>1+</w:t>
      </w:r>
      <w:r>
        <w:rPr>
          <w:rFonts w:ascii="仿宋" w:eastAsia="仿宋" w:hAnsi="仿宋" w:cs="Times New Roman"/>
          <w:sz w:val="28"/>
          <w:szCs w:val="28"/>
        </w:rPr>
        <w:t>转出基金申购费率</w:t>
      </w:r>
      <w:r>
        <w:rPr>
          <w:rFonts w:ascii="仿宋" w:eastAsia="仿宋" w:hAnsi="仿宋" w:cs="Times New Roman"/>
          <w:sz w:val="28"/>
          <w:szCs w:val="28"/>
        </w:rPr>
        <w:t>×</w:t>
      </w:r>
      <w:r>
        <w:rPr>
          <w:rFonts w:ascii="仿宋" w:eastAsia="仿宋" w:hAnsi="仿宋" w:cs="Times New Roman"/>
          <w:sz w:val="28"/>
          <w:szCs w:val="28"/>
        </w:rPr>
        <w:t>申</w:t>
      </w:r>
      <w:r>
        <w:rPr>
          <w:rFonts w:ascii="仿宋" w:eastAsia="仿宋" w:hAnsi="仿宋" w:cs="Times New Roman"/>
          <w:sz w:val="28"/>
          <w:szCs w:val="28"/>
        </w:rPr>
        <w:t>购补差费折扣）</w:t>
      </w:r>
    </w:p>
    <w:p w:rsidR="0020179D" w:rsidRDefault="00F72707">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转入基金申购费</w:t>
      </w:r>
      <w:r>
        <w:rPr>
          <w:rFonts w:ascii="仿宋" w:eastAsia="仿宋" w:hAnsi="仿宋" w:cs="Times New Roman"/>
          <w:sz w:val="28"/>
          <w:szCs w:val="28"/>
        </w:rPr>
        <w:t>=</w:t>
      </w:r>
      <w:r>
        <w:rPr>
          <w:rFonts w:ascii="仿宋" w:eastAsia="仿宋" w:hAnsi="仿宋" w:cs="Times New Roman"/>
          <w:sz w:val="28"/>
          <w:szCs w:val="28"/>
        </w:rPr>
        <w:t>转出净额－转出净额</w:t>
      </w:r>
      <w:r>
        <w:rPr>
          <w:rFonts w:ascii="仿宋" w:eastAsia="仿宋" w:hAnsi="仿宋" w:cs="Times New Roman"/>
          <w:sz w:val="28"/>
          <w:szCs w:val="28"/>
        </w:rPr>
        <w:t>/</w:t>
      </w:r>
      <w:r>
        <w:rPr>
          <w:rFonts w:ascii="仿宋" w:eastAsia="仿宋" w:hAnsi="仿宋" w:cs="Times New Roman"/>
          <w:sz w:val="28"/>
          <w:szCs w:val="28"/>
        </w:rPr>
        <w:t>（</w:t>
      </w:r>
      <w:r>
        <w:rPr>
          <w:rFonts w:ascii="仿宋" w:eastAsia="仿宋" w:hAnsi="仿宋" w:cs="Times New Roman"/>
          <w:sz w:val="28"/>
          <w:szCs w:val="28"/>
        </w:rPr>
        <w:t>1+</w:t>
      </w:r>
      <w:r>
        <w:rPr>
          <w:rFonts w:ascii="仿宋" w:eastAsia="仿宋" w:hAnsi="仿宋" w:cs="Times New Roman"/>
          <w:sz w:val="28"/>
          <w:szCs w:val="28"/>
        </w:rPr>
        <w:t>转入基金申购费率</w:t>
      </w:r>
      <w:r>
        <w:rPr>
          <w:rFonts w:ascii="仿宋" w:eastAsia="仿宋" w:hAnsi="仿宋" w:cs="Times New Roman"/>
          <w:sz w:val="28"/>
          <w:szCs w:val="28"/>
        </w:rPr>
        <w:t>×</w:t>
      </w:r>
      <w:r>
        <w:rPr>
          <w:rFonts w:ascii="仿宋" w:eastAsia="仿宋" w:hAnsi="仿宋" w:cs="Times New Roman"/>
          <w:sz w:val="28"/>
          <w:szCs w:val="28"/>
        </w:rPr>
        <w:t>申购补差费折扣）</w:t>
      </w:r>
    </w:p>
    <w:p w:rsidR="0020179D" w:rsidRDefault="00F72707">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申购补差费</w:t>
      </w:r>
      <w:r>
        <w:rPr>
          <w:rFonts w:ascii="仿宋" w:eastAsia="仿宋" w:hAnsi="仿宋" w:cs="Times New Roman"/>
          <w:sz w:val="28"/>
          <w:szCs w:val="28"/>
        </w:rPr>
        <w:t>= Max[</w:t>
      </w:r>
      <w:r>
        <w:rPr>
          <w:rFonts w:ascii="仿宋" w:eastAsia="仿宋" w:hAnsi="仿宋" w:cs="Times New Roman"/>
          <w:sz w:val="28"/>
          <w:szCs w:val="28"/>
        </w:rPr>
        <w:t>转入基金申购费－转出基金申购费</w:t>
      </w:r>
      <w:r>
        <w:rPr>
          <w:rFonts w:ascii="仿宋" w:eastAsia="仿宋" w:hAnsi="仿宋" w:cs="Times New Roman"/>
          <w:sz w:val="28"/>
          <w:szCs w:val="28"/>
        </w:rPr>
        <w:t>,0]</w:t>
      </w:r>
    </w:p>
    <w:p w:rsidR="0020179D" w:rsidRDefault="00F72707">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净转入金额</w:t>
      </w:r>
      <w:r>
        <w:rPr>
          <w:rFonts w:ascii="仿宋" w:eastAsia="仿宋" w:hAnsi="仿宋" w:cs="Times New Roman"/>
          <w:sz w:val="28"/>
          <w:szCs w:val="28"/>
        </w:rPr>
        <w:t>=</w:t>
      </w:r>
      <w:r>
        <w:rPr>
          <w:rFonts w:ascii="仿宋" w:eastAsia="仿宋" w:hAnsi="仿宋" w:cs="Times New Roman"/>
          <w:sz w:val="28"/>
          <w:szCs w:val="28"/>
        </w:rPr>
        <w:t>转出净额－申购补差费</w:t>
      </w:r>
    </w:p>
    <w:p w:rsidR="0020179D" w:rsidRDefault="00F72707">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转入份额</w:t>
      </w:r>
      <w:r>
        <w:rPr>
          <w:rFonts w:ascii="仿宋" w:eastAsia="仿宋" w:hAnsi="仿宋" w:cs="Times New Roman"/>
          <w:sz w:val="28"/>
          <w:szCs w:val="28"/>
        </w:rPr>
        <w:t xml:space="preserve">= </w:t>
      </w:r>
      <w:r>
        <w:rPr>
          <w:rFonts w:ascii="仿宋" w:eastAsia="仿宋" w:hAnsi="仿宋" w:cs="Times New Roman"/>
          <w:sz w:val="28"/>
          <w:szCs w:val="28"/>
        </w:rPr>
        <w:t>净转入金额</w:t>
      </w:r>
      <w:r>
        <w:rPr>
          <w:rFonts w:ascii="仿宋" w:eastAsia="仿宋" w:hAnsi="仿宋" w:cs="Times New Roman"/>
          <w:sz w:val="28"/>
          <w:szCs w:val="28"/>
        </w:rPr>
        <w:t>÷</w:t>
      </w:r>
      <w:r>
        <w:rPr>
          <w:rFonts w:ascii="仿宋" w:eastAsia="仿宋" w:hAnsi="仿宋" w:cs="Times New Roman"/>
          <w:sz w:val="28"/>
          <w:szCs w:val="28"/>
        </w:rPr>
        <w:t>转入基金当日基金份额净值</w:t>
      </w:r>
    </w:p>
    <w:p w:rsidR="0020179D" w:rsidRDefault="00F72707">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如果转入基金份额申购费适用固定费用时，则转入基金份额申购费等于转入基金份额固定申购费；如果转出基金份额申购费适用固定费用时，则转出基金份额申购费等于转出基金份额固定申购费。</w:t>
      </w:r>
    </w:p>
    <w:p w:rsidR="0020179D" w:rsidRDefault="00F72707">
      <w:pPr>
        <w:spacing w:line="360" w:lineRule="auto"/>
        <w:ind w:firstLineChars="187" w:firstLine="526"/>
        <w:rPr>
          <w:rFonts w:ascii="仿宋" w:eastAsia="仿宋" w:hAnsi="仿宋" w:cs="Times New Roman"/>
          <w:b/>
          <w:sz w:val="28"/>
          <w:szCs w:val="28"/>
        </w:rPr>
      </w:pPr>
      <w:r>
        <w:rPr>
          <w:rFonts w:ascii="仿宋" w:eastAsia="仿宋" w:hAnsi="仿宋" w:cs="Times New Roman" w:hint="eastAsia"/>
          <w:b/>
          <w:sz w:val="28"/>
          <w:szCs w:val="28"/>
        </w:rPr>
        <w:t>除法律法规另有规定或基金合同另有约定外，华泰紫金天天金交易型货币市场基金、</w:t>
      </w:r>
      <w:r>
        <w:rPr>
          <w:rFonts w:ascii="仿宋" w:eastAsia="仿宋" w:hAnsi="仿宋" w:cs="Times New Roman"/>
          <w:b/>
          <w:sz w:val="28"/>
          <w:szCs w:val="28"/>
        </w:rPr>
        <w:t>华泰紫金货币增利货币市场基</w:t>
      </w:r>
      <w:r>
        <w:rPr>
          <w:rFonts w:ascii="仿宋" w:eastAsia="仿宋" w:hAnsi="仿宋" w:cs="Times New Roman"/>
          <w:b/>
          <w:sz w:val="28"/>
          <w:szCs w:val="28"/>
        </w:rPr>
        <w:t>金</w:t>
      </w:r>
      <w:r>
        <w:rPr>
          <w:rFonts w:ascii="仿宋" w:eastAsia="仿宋" w:hAnsi="仿宋" w:cs="Times New Roman" w:hint="eastAsia"/>
          <w:b/>
          <w:sz w:val="28"/>
          <w:szCs w:val="28"/>
        </w:rPr>
        <w:t>不收取赎回费及申购费，即基金转换费用为</w:t>
      </w:r>
      <w:r>
        <w:rPr>
          <w:rFonts w:ascii="仿宋" w:eastAsia="仿宋" w:hAnsi="仿宋" w:cs="Times New Roman"/>
          <w:b/>
          <w:sz w:val="28"/>
          <w:szCs w:val="28"/>
        </w:rPr>
        <w:t>0</w:t>
      </w:r>
      <w:r>
        <w:rPr>
          <w:rFonts w:ascii="仿宋" w:eastAsia="仿宋" w:hAnsi="仿宋" w:cs="Times New Roman" w:hint="eastAsia"/>
          <w:b/>
          <w:sz w:val="28"/>
          <w:szCs w:val="28"/>
        </w:rPr>
        <w:t>。</w:t>
      </w:r>
    </w:p>
    <w:p w:rsidR="0020179D" w:rsidRDefault="00F72707">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3</w:t>
      </w:r>
      <w:r>
        <w:rPr>
          <w:rFonts w:ascii="仿宋" w:eastAsia="仿宋" w:hAnsi="仿宋" w:cs="Times New Roman" w:hint="eastAsia"/>
          <w:sz w:val="28"/>
          <w:szCs w:val="28"/>
        </w:rPr>
        <w:t>、举例说明</w:t>
      </w:r>
    </w:p>
    <w:p w:rsidR="0020179D" w:rsidRDefault="00F72707">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假定投资者在</w:t>
      </w:r>
      <w:r>
        <w:rPr>
          <w:rFonts w:ascii="仿宋" w:eastAsia="仿宋" w:hAnsi="仿宋" w:cs="Times New Roman"/>
          <w:sz w:val="28"/>
          <w:szCs w:val="28"/>
        </w:rPr>
        <w:t>T</w:t>
      </w:r>
      <w:r>
        <w:rPr>
          <w:rFonts w:ascii="仿宋" w:eastAsia="仿宋" w:hAnsi="仿宋" w:cs="Times New Roman"/>
          <w:sz w:val="28"/>
          <w:szCs w:val="28"/>
        </w:rPr>
        <w:t>日转出</w:t>
      </w:r>
      <w:r>
        <w:rPr>
          <w:rFonts w:ascii="仿宋" w:eastAsia="仿宋" w:hAnsi="仿宋" w:cs="Times New Roman"/>
          <w:sz w:val="28"/>
          <w:szCs w:val="28"/>
        </w:rPr>
        <w:t xml:space="preserve"> 10,000</w:t>
      </w:r>
      <w:r>
        <w:rPr>
          <w:rFonts w:ascii="仿宋" w:eastAsia="仿宋" w:hAnsi="仿宋" w:cs="Times New Roman"/>
          <w:sz w:val="28"/>
          <w:szCs w:val="28"/>
        </w:rPr>
        <w:t>份华泰紫金货币增利货币市场基金</w:t>
      </w:r>
      <w:r>
        <w:rPr>
          <w:rFonts w:ascii="仿宋" w:eastAsia="仿宋" w:hAnsi="仿宋" w:cs="Times New Roman" w:hint="eastAsia"/>
          <w:sz w:val="28"/>
          <w:szCs w:val="28"/>
        </w:rPr>
        <w:t>A</w:t>
      </w:r>
      <w:r>
        <w:rPr>
          <w:rFonts w:ascii="仿宋" w:eastAsia="仿宋" w:hAnsi="仿宋" w:cs="Times New Roman" w:hint="eastAsia"/>
          <w:sz w:val="28"/>
          <w:szCs w:val="28"/>
        </w:rPr>
        <w:t>份额</w:t>
      </w:r>
      <w:r>
        <w:rPr>
          <w:rFonts w:ascii="仿宋" w:eastAsia="仿宋" w:hAnsi="仿宋" w:cs="Times New Roman"/>
          <w:sz w:val="28"/>
          <w:szCs w:val="28"/>
        </w:rPr>
        <w:t>（转出基金）至</w:t>
      </w:r>
      <w:r>
        <w:rPr>
          <w:rFonts w:ascii="仿宋" w:eastAsia="仿宋" w:hAnsi="仿宋" w:cs="Times New Roman" w:hint="eastAsia"/>
          <w:sz w:val="28"/>
          <w:szCs w:val="28"/>
        </w:rPr>
        <w:t>华泰紫金天天金交易型货币市场基金</w:t>
      </w:r>
      <w:r>
        <w:rPr>
          <w:rFonts w:ascii="仿宋" w:eastAsia="仿宋" w:hAnsi="仿宋" w:cs="Times New Roman" w:hint="eastAsia"/>
          <w:sz w:val="28"/>
          <w:szCs w:val="28"/>
        </w:rPr>
        <w:t>B</w:t>
      </w:r>
      <w:r>
        <w:rPr>
          <w:rFonts w:ascii="仿宋" w:eastAsia="仿宋" w:hAnsi="仿宋" w:cs="Times New Roman" w:hint="eastAsia"/>
          <w:sz w:val="28"/>
          <w:szCs w:val="28"/>
        </w:rPr>
        <w:t>份额</w:t>
      </w:r>
      <w:r>
        <w:rPr>
          <w:rFonts w:ascii="仿宋" w:eastAsia="仿宋" w:hAnsi="仿宋" w:cs="Times New Roman"/>
          <w:sz w:val="28"/>
          <w:szCs w:val="28"/>
        </w:rPr>
        <w:t>（转入基金），转出基金</w:t>
      </w:r>
      <w:r>
        <w:rPr>
          <w:rFonts w:ascii="仿宋" w:eastAsia="仿宋" w:hAnsi="仿宋" w:cs="Times New Roman"/>
          <w:sz w:val="28"/>
          <w:szCs w:val="28"/>
        </w:rPr>
        <w:t>T</w:t>
      </w:r>
      <w:r>
        <w:rPr>
          <w:rFonts w:ascii="仿宋" w:eastAsia="仿宋" w:hAnsi="仿宋" w:cs="Times New Roman"/>
          <w:sz w:val="28"/>
          <w:szCs w:val="28"/>
        </w:rPr>
        <w:t>日的基金份额净值为</w:t>
      </w:r>
      <w:r>
        <w:rPr>
          <w:rFonts w:ascii="仿宋" w:eastAsia="仿宋" w:hAnsi="仿宋" w:cs="Times New Roman"/>
          <w:sz w:val="28"/>
          <w:szCs w:val="28"/>
        </w:rPr>
        <w:t>1.0000</w:t>
      </w:r>
      <w:r>
        <w:rPr>
          <w:rFonts w:ascii="仿宋" w:eastAsia="仿宋" w:hAnsi="仿宋" w:cs="Times New Roman"/>
          <w:sz w:val="28"/>
          <w:szCs w:val="28"/>
        </w:rPr>
        <w:t>元，转入基金</w:t>
      </w:r>
      <w:r>
        <w:rPr>
          <w:rFonts w:ascii="仿宋" w:eastAsia="仿宋" w:hAnsi="仿宋" w:cs="Times New Roman"/>
          <w:sz w:val="28"/>
          <w:szCs w:val="28"/>
        </w:rPr>
        <w:t>T</w:t>
      </w:r>
      <w:r>
        <w:rPr>
          <w:rFonts w:ascii="仿宋" w:eastAsia="仿宋" w:hAnsi="仿宋" w:cs="Times New Roman"/>
          <w:sz w:val="28"/>
          <w:szCs w:val="28"/>
        </w:rPr>
        <w:t>日的基金份额净值为</w:t>
      </w:r>
      <w:r>
        <w:rPr>
          <w:rFonts w:ascii="仿宋" w:eastAsia="仿宋" w:hAnsi="仿宋" w:cs="Times New Roman"/>
          <w:sz w:val="28"/>
          <w:szCs w:val="28"/>
        </w:rPr>
        <w:t>1.0000</w:t>
      </w:r>
      <w:r>
        <w:rPr>
          <w:rFonts w:ascii="仿宋" w:eastAsia="仿宋" w:hAnsi="仿宋" w:cs="Times New Roman"/>
          <w:sz w:val="28"/>
          <w:szCs w:val="28"/>
        </w:rPr>
        <w:t>元</w:t>
      </w:r>
      <w:r>
        <w:rPr>
          <w:rFonts w:ascii="仿宋" w:eastAsia="仿宋" w:hAnsi="仿宋" w:cs="Times New Roman" w:hint="eastAsia"/>
          <w:sz w:val="28"/>
          <w:szCs w:val="28"/>
        </w:rPr>
        <w:t>，</w:t>
      </w:r>
      <w:r>
        <w:rPr>
          <w:rFonts w:ascii="仿宋" w:eastAsia="仿宋" w:hAnsi="仿宋" w:cs="Times New Roman"/>
          <w:sz w:val="28"/>
          <w:szCs w:val="28"/>
        </w:rPr>
        <w:t>则可获得转入基金份额</w:t>
      </w:r>
      <w:r>
        <w:rPr>
          <w:rFonts w:ascii="仿宋" w:eastAsia="仿宋" w:hAnsi="仿宋" w:cs="Times New Roman"/>
          <w:sz w:val="28"/>
          <w:szCs w:val="28"/>
        </w:rPr>
        <w:lastRenderedPageBreak/>
        <w:t>10,000.00</w:t>
      </w:r>
      <w:r>
        <w:rPr>
          <w:rFonts w:ascii="仿宋" w:eastAsia="仿宋" w:hAnsi="仿宋" w:cs="Times New Roman"/>
          <w:sz w:val="28"/>
          <w:szCs w:val="28"/>
        </w:rPr>
        <w:t>份</w:t>
      </w:r>
      <w:r>
        <w:rPr>
          <w:rFonts w:ascii="仿宋" w:eastAsia="仿宋" w:hAnsi="仿宋" w:cs="Times New Roman" w:hint="eastAsia"/>
          <w:sz w:val="28"/>
          <w:szCs w:val="28"/>
        </w:rPr>
        <w:t>。</w:t>
      </w:r>
    </w:p>
    <w:p w:rsidR="0020179D" w:rsidRDefault="00F72707">
      <w:pPr>
        <w:spacing w:line="360" w:lineRule="auto"/>
        <w:ind w:firstLineChars="187" w:firstLine="526"/>
        <w:rPr>
          <w:rFonts w:ascii="仿宋" w:eastAsia="仿宋" w:hAnsi="仿宋" w:cs="Times New Roman"/>
          <w:b/>
          <w:sz w:val="28"/>
          <w:szCs w:val="28"/>
        </w:rPr>
      </w:pPr>
      <w:r>
        <w:rPr>
          <w:rFonts w:ascii="仿宋" w:eastAsia="仿宋" w:hAnsi="仿宋" w:cs="Times New Roman" w:hint="eastAsia"/>
          <w:b/>
          <w:sz w:val="28"/>
          <w:szCs w:val="28"/>
        </w:rPr>
        <w:t>二、办理时间</w:t>
      </w:r>
    </w:p>
    <w:p w:rsidR="0020179D" w:rsidRDefault="00F72707">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基金转换业务的申请受理时间与本公司管理的基金日常申赎业务受理时间相同。具体办理规则请遵循销售机构的相关规定。</w:t>
      </w:r>
    </w:p>
    <w:p w:rsidR="0020179D" w:rsidRDefault="00F72707">
      <w:pPr>
        <w:spacing w:line="360" w:lineRule="auto"/>
        <w:ind w:firstLineChars="187" w:firstLine="526"/>
        <w:rPr>
          <w:rFonts w:ascii="仿宋" w:eastAsia="仿宋" w:hAnsi="仿宋" w:cs="Times New Roman"/>
          <w:b/>
          <w:sz w:val="28"/>
          <w:szCs w:val="28"/>
        </w:rPr>
      </w:pPr>
      <w:r>
        <w:rPr>
          <w:rFonts w:ascii="仿宋" w:eastAsia="仿宋" w:hAnsi="仿宋" w:cs="Times New Roman" w:hint="eastAsia"/>
          <w:b/>
          <w:sz w:val="28"/>
          <w:szCs w:val="28"/>
        </w:rPr>
        <w:t>三、适用基金范围</w:t>
      </w:r>
    </w:p>
    <w:p w:rsidR="0020179D" w:rsidRDefault="00F72707">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投资者在销售机构可办理华泰紫金天天金交易型货币市场基金（仅</w:t>
      </w:r>
      <w:r>
        <w:rPr>
          <w:rFonts w:ascii="仿宋" w:eastAsia="仿宋" w:hAnsi="仿宋" w:cs="Times New Roman" w:hint="eastAsia"/>
          <w:sz w:val="28"/>
          <w:szCs w:val="28"/>
        </w:rPr>
        <w:t>B</w:t>
      </w:r>
      <w:r>
        <w:rPr>
          <w:rFonts w:ascii="仿宋" w:eastAsia="仿宋" w:hAnsi="仿宋" w:cs="Times New Roman" w:hint="eastAsia"/>
          <w:sz w:val="28"/>
          <w:szCs w:val="28"/>
        </w:rPr>
        <w:t>份额，</w:t>
      </w:r>
      <w:r>
        <w:rPr>
          <w:rFonts w:ascii="仿宋" w:eastAsia="仿宋" w:hAnsi="仿宋" w:cs="Times New Roman" w:hint="eastAsia"/>
          <w:sz w:val="28"/>
          <w:szCs w:val="28"/>
        </w:rPr>
        <w:t>B</w:t>
      </w:r>
      <w:r>
        <w:rPr>
          <w:rFonts w:ascii="仿宋" w:eastAsia="仿宋" w:hAnsi="仿宋" w:cs="Times New Roman"/>
          <w:sz w:val="28"/>
          <w:szCs w:val="28"/>
        </w:rPr>
        <w:t>份额基金代码：</w:t>
      </w:r>
      <w:r>
        <w:rPr>
          <w:rFonts w:ascii="仿宋" w:eastAsia="仿宋" w:hAnsi="仿宋" w:cs="Times New Roman"/>
          <w:sz w:val="28"/>
          <w:szCs w:val="28"/>
        </w:rPr>
        <w:t>004749</w:t>
      </w:r>
      <w:r>
        <w:rPr>
          <w:rFonts w:ascii="仿宋" w:eastAsia="仿宋" w:hAnsi="仿宋" w:cs="Times New Roman"/>
          <w:sz w:val="28"/>
          <w:szCs w:val="28"/>
        </w:rPr>
        <w:t>）与华泰紫金货币增利货币市场基金（仅</w:t>
      </w:r>
      <w:r>
        <w:rPr>
          <w:rFonts w:ascii="仿宋" w:eastAsia="仿宋" w:hAnsi="仿宋" w:cs="Times New Roman"/>
          <w:sz w:val="28"/>
          <w:szCs w:val="28"/>
        </w:rPr>
        <w:t>A</w:t>
      </w:r>
      <w:r>
        <w:rPr>
          <w:rFonts w:ascii="仿宋" w:eastAsia="仿宋" w:hAnsi="仿宋" w:cs="Times New Roman"/>
          <w:sz w:val="28"/>
          <w:szCs w:val="28"/>
        </w:rPr>
        <w:t>、</w:t>
      </w:r>
      <w:r>
        <w:rPr>
          <w:rFonts w:ascii="仿宋" w:eastAsia="仿宋" w:hAnsi="仿宋" w:cs="Times New Roman"/>
          <w:sz w:val="28"/>
          <w:szCs w:val="28"/>
        </w:rPr>
        <w:t>B</w:t>
      </w:r>
      <w:r>
        <w:rPr>
          <w:rFonts w:ascii="仿宋" w:eastAsia="仿宋" w:hAnsi="仿宋" w:cs="Times New Roman"/>
          <w:sz w:val="28"/>
          <w:szCs w:val="28"/>
        </w:rPr>
        <w:t>份额，</w:t>
      </w:r>
      <w:r>
        <w:rPr>
          <w:rFonts w:ascii="仿宋" w:eastAsia="仿宋" w:hAnsi="仿宋" w:cs="Times New Roman"/>
          <w:sz w:val="28"/>
          <w:szCs w:val="28"/>
        </w:rPr>
        <w:t>A</w:t>
      </w:r>
      <w:r>
        <w:rPr>
          <w:rFonts w:ascii="仿宋" w:eastAsia="仿宋" w:hAnsi="仿宋" w:cs="Times New Roman"/>
          <w:sz w:val="28"/>
          <w:szCs w:val="28"/>
        </w:rPr>
        <w:t>份额基金代码：</w:t>
      </w:r>
      <w:r>
        <w:rPr>
          <w:rFonts w:ascii="仿宋" w:eastAsia="仿宋" w:hAnsi="仿宋" w:cs="Times New Roman"/>
          <w:sz w:val="28"/>
          <w:szCs w:val="28"/>
        </w:rPr>
        <w:t>015649</w:t>
      </w:r>
      <w:r>
        <w:rPr>
          <w:rFonts w:ascii="仿宋" w:eastAsia="仿宋" w:hAnsi="仿宋" w:cs="Times New Roman"/>
          <w:sz w:val="28"/>
          <w:szCs w:val="28"/>
        </w:rPr>
        <w:t>，</w:t>
      </w:r>
      <w:r>
        <w:rPr>
          <w:rFonts w:ascii="仿宋" w:eastAsia="仿宋" w:hAnsi="仿宋" w:cs="Times New Roman"/>
          <w:sz w:val="28"/>
          <w:szCs w:val="28"/>
        </w:rPr>
        <w:t>B</w:t>
      </w:r>
      <w:r>
        <w:rPr>
          <w:rFonts w:ascii="仿宋" w:eastAsia="仿宋" w:hAnsi="仿宋" w:cs="Times New Roman"/>
          <w:sz w:val="28"/>
          <w:szCs w:val="28"/>
        </w:rPr>
        <w:t>份额基金代码：</w:t>
      </w:r>
      <w:r>
        <w:rPr>
          <w:rFonts w:ascii="仿宋" w:eastAsia="仿宋" w:hAnsi="仿宋" w:cs="Times New Roman"/>
          <w:sz w:val="28"/>
          <w:szCs w:val="28"/>
        </w:rPr>
        <w:t>015650</w:t>
      </w:r>
      <w:r>
        <w:rPr>
          <w:rFonts w:ascii="仿宋" w:eastAsia="仿宋" w:hAnsi="仿宋" w:cs="Times New Roman"/>
          <w:sz w:val="28"/>
          <w:szCs w:val="28"/>
        </w:rPr>
        <w:t>）基金转换业务。</w:t>
      </w:r>
    </w:p>
    <w:p w:rsidR="0020179D" w:rsidRDefault="00F72707">
      <w:pPr>
        <w:spacing w:line="360" w:lineRule="auto"/>
        <w:ind w:firstLineChars="187" w:firstLine="526"/>
        <w:rPr>
          <w:rFonts w:ascii="仿宋" w:eastAsia="仿宋" w:hAnsi="仿宋" w:cs="Times New Roman"/>
          <w:b/>
          <w:sz w:val="28"/>
          <w:szCs w:val="28"/>
        </w:rPr>
      </w:pPr>
      <w:r>
        <w:rPr>
          <w:rFonts w:ascii="仿宋" w:eastAsia="仿宋" w:hAnsi="仿宋" w:cs="Times New Roman" w:hint="eastAsia"/>
          <w:b/>
          <w:sz w:val="28"/>
          <w:szCs w:val="28"/>
        </w:rPr>
        <w:t>四、可办理转换业务的本基金销售机构</w:t>
      </w:r>
    </w:p>
    <w:p w:rsidR="0020179D" w:rsidRDefault="00F72707">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自</w:t>
      </w:r>
      <w:r>
        <w:rPr>
          <w:rFonts w:ascii="仿宋" w:eastAsia="仿宋" w:hAnsi="仿宋" w:cs="Times New Roman"/>
          <w:sz w:val="28"/>
          <w:szCs w:val="28"/>
        </w:rPr>
        <w:t>2024</w:t>
      </w:r>
      <w:r>
        <w:rPr>
          <w:rFonts w:ascii="仿宋" w:eastAsia="仿宋" w:hAnsi="仿宋" w:cs="Times New Roman"/>
          <w:sz w:val="28"/>
          <w:szCs w:val="28"/>
        </w:rPr>
        <w:t>年</w:t>
      </w:r>
      <w:r>
        <w:rPr>
          <w:rFonts w:ascii="仿宋" w:eastAsia="仿宋" w:hAnsi="仿宋" w:cs="Times New Roman"/>
          <w:sz w:val="28"/>
          <w:szCs w:val="28"/>
        </w:rPr>
        <w:t>5</w:t>
      </w:r>
      <w:r>
        <w:rPr>
          <w:rFonts w:ascii="仿宋" w:eastAsia="仿宋" w:hAnsi="仿宋" w:cs="Times New Roman"/>
          <w:sz w:val="28"/>
          <w:szCs w:val="28"/>
        </w:rPr>
        <w:t>月</w:t>
      </w:r>
      <w:r>
        <w:rPr>
          <w:rFonts w:ascii="仿宋" w:eastAsia="仿宋" w:hAnsi="仿宋" w:cs="Times New Roman"/>
          <w:sz w:val="28"/>
          <w:szCs w:val="28"/>
        </w:rPr>
        <w:t>20</w:t>
      </w:r>
      <w:r>
        <w:rPr>
          <w:rFonts w:ascii="仿宋" w:eastAsia="仿宋" w:hAnsi="仿宋" w:cs="Times New Roman"/>
          <w:sz w:val="28"/>
          <w:szCs w:val="28"/>
        </w:rPr>
        <w:t>日起，投资者可通过</w:t>
      </w:r>
      <w:r>
        <w:rPr>
          <w:rFonts w:ascii="仿宋" w:eastAsia="仿宋" w:hAnsi="仿宋" w:cs="Times New Roman" w:hint="eastAsia"/>
          <w:sz w:val="28"/>
          <w:szCs w:val="28"/>
        </w:rPr>
        <w:t>相关销售机构</w:t>
      </w:r>
      <w:r>
        <w:rPr>
          <w:rFonts w:ascii="仿宋" w:eastAsia="仿宋" w:hAnsi="仿宋" w:cs="Times New Roman"/>
          <w:sz w:val="28"/>
          <w:szCs w:val="28"/>
        </w:rPr>
        <w:t>办理上述基金之间的基金转换业务。</w:t>
      </w:r>
      <w:r>
        <w:rPr>
          <w:rFonts w:ascii="仿宋" w:eastAsia="仿宋" w:hAnsi="仿宋" w:cs="Times New Roman" w:hint="eastAsia"/>
          <w:sz w:val="28"/>
          <w:szCs w:val="28"/>
        </w:rPr>
        <w:t>投资者在销售机构办理相关业务时，需遵循各基金销售机构的相关规定，以各销售机构的实际业务开展为准。</w:t>
      </w:r>
    </w:p>
    <w:p w:rsidR="0020179D" w:rsidRDefault="00F72707">
      <w:pPr>
        <w:spacing w:line="360" w:lineRule="auto"/>
        <w:ind w:firstLineChars="187" w:firstLine="526"/>
        <w:rPr>
          <w:rFonts w:ascii="仿宋" w:eastAsia="仿宋" w:hAnsi="仿宋" w:cs="Times New Roman"/>
          <w:b/>
          <w:sz w:val="28"/>
          <w:szCs w:val="28"/>
        </w:rPr>
      </w:pPr>
      <w:r>
        <w:rPr>
          <w:rFonts w:ascii="仿宋" w:eastAsia="仿宋" w:hAnsi="仿宋" w:cs="Times New Roman" w:hint="eastAsia"/>
          <w:b/>
          <w:sz w:val="28"/>
          <w:szCs w:val="28"/>
        </w:rPr>
        <w:t>五、业务规则</w:t>
      </w:r>
    </w:p>
    <w:p w:rsidR="0020179D" w:rsidRDefault="00F72707">
      <w:pPr>
        <w:pStyle w:val="af3"/>
        <w:numPr>
          <w:ilvl w:val="0"/>
          <w:numId w:val="1"/>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基金转换只能在同一销售机构办理，且该销售机构须同时代理拟转换出基</w:t>
      </w:r>
      <w:r>
        <w:rPr>
          <w:rFonts w:ascii="仿宋" w:eastAsia="仿宋" w:hAnsi="仿宋" w:cs="Times New Roman" w:hint="eastAsia"/>
          <w:sz w:val="28"/>
          <w:szCs w:val="28"/>
        </w:rPr>
        <w:t>金及拟转换入基金的销售。</w:t>
      </w:r>
    </w:p>
    <w:p w:rsidR="0020179D" w:rsidRDefault="00F72707">
      <w:pPr>
        <w:pStyle w:val="af3"/>
        <w:numPr>
          <w:ilvl w:val="0"/>
          <w:numId w:val="1"/>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单笔转换入申请受转换入基金最低申购金额限制。若基金份额持有人的某笔基金转换将导致其在该销售机构所持有的剩余基金份额低于规定限额的（具体限额参见相关公告和基金招募说明书及其更新），应申请一并转换。</w:t>
      </w:r>
    </w:p>
    <w:p w:rsidR="0020179D" w:rsidRDefault="00F72707">
      <w:pPr>
        <w:pStyle w:val="af3"/>
        <w:numPr>
          <w:ilvl w:val="0"/>
          <w:numId w:val="1"/>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基金转换以份额为单位进行申请，投资者办理基金转换业务时，转换出方的基金必须处于可赎回状态，转换入方的基金必须处于可申购状态，否则，转换申请将确认为失败。</w:t>
      </w:r>
    </w:p>
    <w:p w:rsidR="0020179D" w:rsidRDefault="00F72707">
      <w:pPr>
        <w:pStyle w:val="af3"/>
        <w:numPr>
          <w:ilvl w:val="0"/>
          <w:numId w:val="1"/>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基金转换采取未知价法，即以申请受理当日各转换出、转换入基金的基金份额净值为基础进行计算。</w:t>
      </w:r>
    </w:p>
    <w:p w:rsidR="0020179D" w:rsidRDefault="00F72707">
      <w:pPr>
        <w:pStyle w:val="af3"/>
        <w:numPr>
          <w:ilvl w:val="0"/>
          <w:numId w:val="1"/>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正常情况下，基金注册登记机构将在</w:t>
      </w:r>
      <w:r>
        <w:rPr>
          <w:rFonts w:ascii="仿宋" w:eastAsia="仿宋" w:hAnsi="仿宋" w:cs="Times New Roman"/>
          <w:sz w:val="28"/>
          <w:szCs w:val="28"/>
        </w:rPr>
        <w:t xml:space="preserve"> T+1 </w:t>
      </w:r>
      <w:r>
        <w:rPr>
          <w:rFonts w:ascii="仿宋" w:eastAsia="仿宋" w:hAnsi="仿宋" w:cs="Times New Roman"/>
          <w:sz w:val="28"/>
          <w:szCs w:val="28"/>
        </w:rPr>
        <w:t>日对</w:t>
      </w:r>
      <w:r>
        <w:rPr>
          <w:rFonts w:ascii="仿宋" w:eastAsia="仿宋" w:hAnsi="仿宋" w:cs="Times New Roman"/>
          <w:sz w:val="28"/>
          <w:szCs w:val="28"/>
        </w:rPr>
        <w:t>投资者</w:t>
      </w:r>
      <w:r>
        <w:rPr>
          <w:rFonts w:ascii="仿宋" w:eastAsia="仿宋" w:hAnsi="仿宋" w:cs="Times New Roman"/>
          <w:sz w:val="28"/>
          <w:szCs w:val="28"/>
        </w:rPr>
        <w:t xml:space="preserve"> T </w:t>
      </w:r>
      <w:r>
        <w:rPr>
          <w:rFonts w:ascii="仿宋" w:eastAsia="仿宋" w:hAnsi="仿宋" w:cs="Times New Roman"/>
          <w:sz w:val="28"/>
          <w:szCs w:val="28"/>
        </w:rPr>
        <w:t>日的基金转换业务申请进行有效性确认，办理转换出基金的权益扣除以及转换入基金的权益登记。在</w:t>
      </w:r>
      <w:r>
        <w:rPr>
          <w:rFonts w:ascii="仿宋" w:eastAsia="仿宋" w:hAnsi="仿宋" w:cs="Times New Roman"/>
          <w:sz w:val="28"/>
          <w:szCs w:val="28"/>
        </w:rPr>
        <w:t xml:space="preserve"> T+2 </w:t>
      </w:r>
      <w:r>
        <w:rPr>
          <w:rFonts w:ascii="仿宋" w:eastAsia="仿宋" w:hAnsi="仿宋" w:cs="Times New Roman"/>
          <w:sz w:val="28"/>
          <w:szCs w:val="28"/>
        </w:rPr>
        <w:t>日后（包括该日）投资者可向销售机构查询基金转换的确认情况。</w:t>
      </w:r>
    </w:p>
    <w:p w:rsidR="0020179D" w:rsidRDefault="00F72707">
      <w:pPr>
        <w:pStyle w:val="af3"/>
        <w:numPr>
          <w:ilvl w:val="0"/>
          <w:numId w:val="1"/>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单个开放日内的基金份额净赎回申请</w:t>
      </w:r>
      <w:r>
        <w:rPr>
          <w:rFonts w:ascii="仿宋" w:eastAsia="仿宋" w:hAnsi="仿宋" w:cs="Times New Roman"/>
          <w:sz w:val="28"/>
          <w:szCs w:val="28"/>
        </w:rPr>
        <w:t>(</w:t>
      </w:r>
      <w:r>
        <w:rPr>
          <w:rFonts w:ascii="仿宋" w:eastAsia="仿宋" w:hAnsi="仿宋" w:cs="Times New Roman"/>
          <w:sz w:val="28"/>
          <w:szCs w:val="28"/>
        </w:rPr>
        <w:t>赎回申请份额总数加上基金转换中转出申请份额总数后扣除申购申请份额总数及基金转换中转入申请份额总数后的余额</w:t>
      </w:r>
      <w:r>
        <w:rPr>
          <w:rFonts w:ascii="仿宋" w:eastAsia="仿宋" w:hAnsi="仿宋" w:cs="Times New Roman"/>
          <w:sz w:val="28"/>
          <w:szCs w:val="28"/>
        </w:rPr>
        <w:t>)</w:t>
      </w:r>
      <w:r>
        <w:rPr>
          <w:rFonts w:ascii="仿宋" w:eastAsia="仿宋" w:hAnsi="仿宋" w:cs="Times New Roman"/>
          <w:sz w:val="28"/>
          <w:szCs w:val="28"/>
        </w:rPr>
        <w:t>超过上一开放日基金总份额的一定比例时（具体比例以转换出基金招募说明书及其更新为准），可能会视为巨额赎回。发生巨额赎回并部分确认时，基金转换出与基金赎回具有相同的优先级，基金管理人可根据基金资产组合情况，</w:t>
      </w:r>
      <w:r>
        <w:rPr>
          <w:rFonts w:ascii="仿宋" w:eastAsia="仿宋" w:hAnsi="仿宋" w:cs="Times New Roman"/>
          <w:sz w:val="28"/>
          <w:szCs w:val="28"/>
        </w:rPr>
        <w:t>决定全额转换出或部分转换出，并且对于基金转换出和基金赎回，将采取相同的确认比例。在转换出申请得到部分确认的情况下，未确认的转换出申请将不予以顺延。</w:t>
      </w:r>
    </w:p>
    <w:p w:rsidR="0020179D" w:rsidRDefault="00F72707">
      <w:pPr>
        <w:pStyle w:val="af3"/>
        <w:numPr>
          <w:ilvl w:val="0"/>
          <w:numId w:val="1"/>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基金份额持有人对转换入基金的份额持有期限自转换入确认之日算起。</w:t>
      </w:r>
    </w:p>
    <w:p w:rsidR="0020179D" w:rsidRDefault="00F72707">
      <w:pPr>
        <w:pStyle w:val="af3"/>
        <w:numPr>
          <w:ilvl w:val="0"/>
          <w:numId w:val="1"/>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转换和赎回业务均遵循“先进先出”的原则。如果转换申请当日，同时有赎回申请的情况下，则遵循先赎回后转换的处理原则。</w:t>
      </w:r>
    </w:p>
    <w:p w:rsidR="0020179D" w:rsidRDefault="00F72707">
      <w:pPr>
        <w:spacing w:line="360" w:lineRule="auto"/>
        <w:ind w:firstLineChars="187" w:firstLine="526"/>
        <w:rPr>
          <w:rFonts w:ascii="仿宋" w:eastAsia="仿宋" w:hAnsi="仿宋" w:cs="Times New Roman"/>
          <w:b/>
          <w:sz w:val="28"/>
          <w:szCs w:val="28"/>
        </w:rPr>
      </w:pPr>
      <w:r>
        <w:rPr>
          <w:rFonts w:ascii="仿宋" w:eastAsia="仿宋" w:hAnsi="仿宋" w:cs="Times New Roman" w:hint="eastAsia"/>
          <w:b/>
          <w:sz w:val="28"/>
          <w:szCs w:val="28"/>
        </w:rPr>
        <w:t>六、其他需要提示的事项</w:t>
      </w:r>
    </w:p>
    <w:p w:rsidR="0020179D" w:rsidRDefault="00F72707">
      <w:pPr>
        <w:pStyle w:val="af3"/>
        <w:numPr>
          <w:ilvl w:val="0"/>
          <w:numId w:val="2"/>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同一基金不同份额类别之间不能进行转换。</w:t>
      </w:r>
    </w:p>
    <w:p w:rsidR="0020179D" w:rsidRDefault="00F72707">
      <w:pPr>
        <w:pStyle w:val="af3"/>
        <w:numPr>
          <w:ilvl w:val="0"/>
          <w:numId w:val="2"/>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本公告仅对上述基金转换事项予以说明。</w:t>
      </w:r>
    </w:p>
    <w:p w:rsidR="0020179D" w:rsidRDefault="00F72707">
      <w:pPr>
        <w:pStyle w:val="af3"/>
        <w:numPr>
          <w:ilvl w:val="0"/>
          <w:numId w:val="2"/>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投资者欲了解基金其他有关信息的，亦可拨打本公司的客户服务电话（</w:t>
      </w:r>
      <w:r>
        <w:rPr>
          <w:rFonts w:ascii="仿宋" w:eastAsia="仿宋" w:hAnsi="仿宋" w:cs="Times New Roman"/>
          <w:sz w:val="28"/>
          <w:szCs w:val="28"/>
        </w:rPr>
        <w:t>4008895597</w:t>
      </w:r>
      <w:r>
        <w:rPr>
          <w:rFonts w:ascii="仿宋" w:eastAsia="仿宋" w:hAnsi="仿宋" w:cs="Times New Roman"/>
          <w:sz w:val="28"/>
          <w:szCs w:val="28"/>
        </w:rPr>
        <w:t>）</w:t>
      </w:r>
      <w:r>
        <w:rPr>
          <w:rFonts w:ascii="仿宋" w:eastAsia="仿宋" w:hAnsi="仿宋" w:cs="Times New Roman"/>
          <w:sz w:val="28"/>
          <w:szCs w:val="28"/>
        </w:rPr>
        <w:t>垂询相关事宜。</w:t>
      </w:r>
    </w:p>
    <w:p w:rsidR="0020179D" w:rsidRDefault="00F72707">
      <w:pPr>
        <w:pStyle w:val="af3"/>
        <w:numPr>
          <w:ilvl w:val="0"/>
          <w:numId w:val="2"/>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具体投资者范围和办理程序应遵循销售机构相关规定。</w:t>
      </w:r>
    </w:p>
    <w:p w:rsidR="0020179D" w:rsidRDefault="00F72707">
      <w:pPr>
        <w:pStyle w:val="af3"/>
        <w:numPr>
          <w:ilvl w:val="0"/>
          <w:numId w:val="2"/>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风险提示：本基金管理人承诺以诚实信用、勤勉尽责的原则管理和运用基金资产，但不保证基金一定盈利，也不保证最低收益。敬请投资者于投资前认真阅读上述基金的基金合同和招募说明书。</w:t>
      </w:r>
    </w:p>
    <w:p w:rsidR="0020179D" w:rsidRDefault="00F72707">
      <w:pPr>
        <w:pStyle w:val="af3"/>
        <w:numPr>
          <w:ilvl w:val="255"/>
          <w:numId w:val="0"/>
        </w:numPr>
        <w:spacing w:line="360" w:lineRule="auto"/>
        <w:ind w:left="449"/>
        <w:rPr>
          <w:rFonts w:ascii="仿宋" w:eastAsia="仿宋" w:hAnsi="仿宋" w:cs="Times New Roman"/>
          <w:sz w:val="28"/>
          <w:szCs w:val="28"/>
        </w:rPr>
      </w:pPr>
      <w:r>
        <w:rPr>
          <w:rFonts w:ascii="仿宋" w:eastAsia="仿宋" w:hAnsi="仿宋" w:cs="Times New Roman" w:hint="eastAsia"/>
          <w:sz w:val="28"/>
          <w:szCs w:val="28"/>
        </w:rPr>
        <w:t>特此公告。</w:t>
      </w:r>
    </w:p>
    <w:p w:rsidR="0020179D" w:rsidRDefault="0020179D">
      <w:pPr>
        <w:spacing w:line="360" w:lineRule="auto"/>
        <w:rPr>
          <w:rFonts w:ascii="仿宋" w:eastAsia="仿宋" w:hAnsi="仿宋" w:cs="Times New Roman"/>
          <w:sz w:val="28"/>
          <w:szCs w:val="28"/>
        </w:rPr>
      </w:pPr>
    </w:p>
    <w:p w:rsidR="0020179D" w:rsidRDefault="0020179D">
      <w:pPr>
        <w:spacing w:line="360" w:lineRule="auto"/>
        <w:rPr>
          <w:rFonts w:ascii="仿宋" w:eastAsia="仿宋" w:hAnsi="仿宋" w:cs="Times New Roman"/>
          <w:sz w:val="28"/>
          <w:szCs w:val="28"/>
        </w:rPr>
      </w:pPr>
    </w:p>
    <w:p w:rsidR="0020179D" w:rsidRDefault="00F72707">
      <w:pPr>
        <w:spacing w:line="360" w:lineRule="auto"/>
        <w:ind w:firstLineChars="1367" w:firstLine="3828"/>
        <w:rPr>
          <w:rFonts w:ascii="仿宋" w:eastAsia="仿宋" w:hAnsi="仿宋" w:cs="Times New Roman"/>
          <w:sz w:val="28"/>
          <w:szCs w:val="28"/>
        </w:rPr>
      </w:pPr>
      <w:r>
        <w:rPr>
          <w:rFonts w:ascii="仿宋" w:eastAsia="仿宋" w:hAnsi="仿宋" w:cs="Times New Roman" w:hint="eastAsia"/>
          <w:sz w:val="28"/>
          <w:szCs w:val="28"/>
        </w:rPr>
        <w:t>华泰证券（上海）资产管理有限公司</w:t>
      </w:r>
    </w:p>
    <w:p w:rsidR="0020179D" w:rsidRDefault="00F72707">
      <w:pPr>
        <w:spacing w:line="360" w:lineRule="auto"/>
        <w:ind w:firstLineChars="1772" w:firstLine="4962"/>
        <w:rPr>
          <w:rFonts w:ascii="仿宋" w:eastAsia="仿宋" w:hAnsi="仿宋" w:cs="Times New Roman"/>
          <w:sz w:val="28"/>
          <w:szCs w:val="28"/>
        </w:rPr>
      </w:pPr>
      <w:r>
        <w:rPr>
          <w:rFonts w:ascii="仿宋" w:eastAsia="仿宋" w:hAnsi="仿宋" w:cs="Times New Roman"/>
          <w:sz w:val="28"/>
          <w:szCs w:val="28"/>
        </w:rPr>
        <w:t xml:space="preserve"> 2024</w:t>
      </w:r>
      <w:r>
        <w:rPr>
          <w:rFonts w:ascii="仿宋" w:eastAsia="仿宋" w:hAnsi="仿宋" w:cs="Times New Roman"/>
          <w:sz w:val="28"/>
          <w:szCs w:val="28"/>
        </w:rPr>
        <w:t>年</w:t>
      </w:r>
      <w:r>
        <w:rPr>
          <w:rFonts w:ascii="仿宋" w:eastAsia="仿宋" w:hAnsi="仿宋" w:cs="Times New Roman"/>
          <w:sz w:val="28"/>
          <w:szCs w:val="28"/>
        </w:rPr>
        <w:t>5</w:t>
      </w:r>
      <w:r>
        <w:rPr>
          <w:rFonts w:ascii="仿宋" w:eastAsia="仿宋" w:hAnsi="仿宋" w:cs="Times New Roman"/>
          <w:sz w:val="28"/>
          <w:szCs w:val="28"/>
        </w:rPr>
        <w:t>月</w:t>
      </w:r>
      <w:r>
        <w:rPr>
          <w:rFonts w:ascii="仿宋" w:eastAsia="仿宋" w:hAnsi="仿宋" w:cs="Times New Roman"/>
          <w:sz w:val="28"/>
          <w:szCs w:val="28"/>
        </w:rPr>
        <w:t>20</w:t>
      </w:r>
      <w:r>
        <w:rPr>
          <w:rFonts w:ascii="仿宋" w:eastAsia="仿宋" w:hAnsi="仿宋" w:cs="Times New Roman"/>
          <w:sz w:val="28"/>
          <w:szCs w:val="28"/>
        </w:rPr>
        <w:t>日</w:t>
      </w:r>
      <w:bookmarkStart w:id="0" w:name="_GoBack"/>
      <w:bookmarkEnd w:id="0"/>
    </w:p>
    <w:p w:rsidR="0020179D" w:rsidRDefault="0020179D">
      <w:pPr>
        <w:spacing w:line="360" w:lineRule="auto"/>
        <w:rPr>
          <w:rFonts w:ascii="仿宋" w:eastAsia="仿宋" w:hAnsi="仿宋" w:cs="Times New Roman"/>
          <w:sz w:val="28"/>
          <w:szCs w:val="28"/>
        </w:rPr>
      </w:pPr>
    </w:p>
    <w:p w:rsidR="0020179D" w:rsidRDefault="0020179D">
      <w:pPr>
        <w:spacing w:line="360" w:lineRule="auto"/>
        <w:rPr>
          <w:rFonts w:ascii="仿宋" w:eastAsia="仿宋" w:hAnsi="仿宋"/>
          <w:sz w:val="28"/>
          <w:szCs w:val="28"/>
        </w:rPr>
      </w:pPr>
    </w:p>
    <w:sectPr w:rsidR="0020179D" w:rsidSect="0020179D">
      <w:pgSz w:w="11910" w:h="16840"/>
      <w:pgMar w:top="1440" w:right="1800" w:bottom="1440" w:left="1800"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79D" w:rsidRDefault="00F72707">
      <w:pPr>
        <w:rPr>
          <w:rFonts w:hint="eastAsia"/>
        </w:rPr>
      </w:pPr>
      <w:r>
        <w:separator/>
      </w:r>
    </w:p>
  </w:endnote>
  <w:endnote w:type="continuationSeparator" w:id="0">
    <w:p w:rsidR="0020179D" w:rsidRDefault="00F7270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等线">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等线 light">
    <w:charset w:val="00"/>
    <w:family w:val="auto"/>
    <w:pitch w:val="default"/>
    <w:sig w:usb0="00000000" w:usb1="00000000" w:usb2="00000000" w:usb3="00000000" w:csb0="00000000" w:csb1="00000000"/>
  </w:font>
  <w:font w:name="仿宋">
    <w:altName w:val="MS Mincho"/>
    <w:charset w:val="00"/>
    <w:family w:val="auto"/>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79D" w:rsidRDefault="00F72707">
      <w:pPr>
        <w:rPr>
          <w:rFonts w:hint="eastAsia"/>
        </w:rPr>
      </w:pPr>
      <w:r>
        <w:separator/>
      </w:r>
    </w:p>
  </w:footnote>
  <w:footnote w:type="continuationSeparator" w:id="0">
    <w:p w:rsidR="0020179D" w:rsidRDefault="00F7270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A3943"/>
    <w:multiLevelType w:val="hybridMultilevel"/>
    <w:tmpl w:val="22DCCF4A"/>
    <w:lvl w:ilvl="0" w:tplc="CB981CCE">
      <w:start w:val="1"/>
      <w:numFmt w:val="decimal"/>
      <w:lvlText w:val="%1、"/>
      <w:lvlJc w:val="left"/>
      <w:pPr>
        <w:snapToGrid/>
        <w:ind w:left="869" w:hanging="420"/>
      </w:pPr>
      <w:rPr>
        <w:rFonts w:ascii="宋体" w:eastAsia="宋体" w:hAnsi="Times New Roman" w:cs="宋体"/>
        <w:sz w:val="22"/>
        <w:szCs w:val="22"/>
      </w:rPr>
    </w:lvl>
    <w:lvl w:ilvl="1" w:tplc="54DCEB5C">
      <w:start w:val="1"/>
      <w:numFmt w:val="lowerLetter"/>
      <w:lvlText w:val="%2)"/>
      <w:lvlJc w:val="left"/>
      <w:pPr>
        <w:snapToGrid/>
        <w:ind w:left="1289" w:hanging="420"/>
      </w:pPr>
    </w:lvl>
    <w:lvl w:ilvl="2" w:tplc="E772C2C0">
      <w:start w:val="1"/>
      <w:numFmt w:val="lowerRoman"/>
      <w:lvlText w:val="%3."/>
      <w:lvlJc w:val="right"/>
      <w:pPr>
        <w:snapToGrid/>
        <w:ind w:left="1709" w:hanging="420"/>
      </w:pPr>
    </w:lvl>
    <w:lvl w:ilvl="3" w:tplc="CF30E64A">
      <w:start w:val="1"/>
      <w:numFmt w:val="decimal"/>
      <w:lvlText w:val="%4."/>
      <w:lvlJc w:val="left"/>
      <w:pPr>
        <w:snapToGrid/>
        <w:ind w:left="2129" w:hanging="420"/>
      </w:pPr>
    </w:lvl>
    <w:lvl w:ilvl="4" w:tplc="59BE34E6">
      <w:start w:val="1"/>
      <w:numFmt w:val="lowerLetter"/>
      <w:lvlText w:val="%5)"/>
      <w:lvlJc w:val="left"/>
      <w:pPr>
        <w:snapToGrid/>
        <w:ind w:left="2549" w:hanging="420"/>
      </w:pPr>
    </w:lvl>
    <w:lvl w:ilvl="5" w:tplc="B76403C0">
      <w:start w:val="1"/>
      <w:numFmt w:val="lowerRoman"/>
      <w:lvlText w:val="%6."/>
      <w:lvlJc w:val="right"/>
      <w:pPr>
        <w:snapToGrid/>
        <w:ind w:left="2969" w:hanging="420"/>
      </w:pPr>
    </w:lvl>
    <w:lvl w:ilvl="6" w:tplc="3856AAAC">
      <w:start w:val="1"/>
      <w:numFmt w:val="decimal"/>
      <w:lvlText w:val="%7."/>
      <w:lvlJc w:val="left"/>
      <w:pPr>
        <w:snapToGrid/>
        <w:ind w:left="3389" w:hanging="420"/>
      </w:pPr>
    </w:lvl>
    <w:lvl w:ilvl="7" w:tplc="14B6F2F8">
      <w:start w:val="1"/>
      <w:numFmt w:val="lowerLetter"/>
      <w:lvlText w:val="%8)"/>
      <w:lvlJc w:val="left"/>
      <w:pPr>
        <w:snapToGrid/>
        <w:ind w:left="3809" w:hanging="420"/>
      </w:pPr>
    </w:lvl>
    <w:lvl w:ilvl="8" w:tplc="C4D80EA0">
      <w:start w:val="1"/>
      <w:numFmt w:val="lowerRoman"/>
      <w:lvlText w:val="%9."/>
      <w:lvlJc w:val="right"/>
      <w:pPr>
        <w:snapToGrid/>
        <w:ind w:left="4229" w:hanging="420"/>
      </w:pPr>
    </w:lvl>
  </w:abstractNum>
  <w:abstractNum w:abstractNumId="1">
    <w:nsid w:val="563A3591"/>
    <w:multiLevelType w:val="hybridMultilevel"/>
    <w:tmpl w:val="591A8B78"/>
    <w:lvl w:ilvl="0" w:tplc="E090779A">
      <w:start w:val="1"/>
      <w:numFmt w:val="decimal"/>
      <w:lvlText w:val="%1、"/>
      <w:lvlJc w:val="left"/>
      <w:pPr>
        <w:snapToGrid/>
        <w:ind w:left="869" w:hanging="420"/>
      </w:pPr>
      <w:rPr>
        <w:rFonts w:ascii="宋体" w:eastAsia="宋体" w:hAnsi="Times New Roman" w:cs="宋体"/>
        <w:sz w:val="22"/>
        <w:szCs w:val="22"/>
      </w:rPr>
    </w:lvl>
    <w:lvl w:ilvl="1" w:tplc="B1660820">
      <w:start w:val="1"/>
      <w:numFmt w:val="lowerLetter"/>
      <w:lvlText w:val="%2)"/>
      <w:lvlJc w:val="left"/>
      <w:pPr>
        <w:snapToGrid/>
        <w:ind w:left="1289" w:hanging="420"/>
      </w:pPr>
    </w:lvl>
    <w:lvl w:ilvl="2" w:tplc="FFD8AAA8">
      <w:start w:val="1"/>
      <w:numFmt w:val="lowerRoman"/>
      <w:lvlText w:val="%3."/>
      <w:lvlJc w:val="right"/>
      <w:pPr>
        <w:snapToGrid/>
        <w:ind w:left="1709" w:hanging="420"/>
      </w:pPr>
    </w:lvl>
    <w:lvl w:ilvl="3" w:tplc="706687F6">
      <w:start w:val="1"/>
      <w:numFmt w:val="decimal"/>
      <w:lvlText w:val="%4."/>
      <w:lvlJc w:val="left"/>
      <w:pPr>
        <w:snapToGrid/>
        <w:ind w:left="2129" w:hanging="420"/>
      </w:pPr>
    </w:lvl>
    <w:lvl w:ilvl="4" w:tplc="880A8ED2">
      <w:start w:val="1"/>
      <w:numFmt w:val="lowerLetter"/>
      <w:lvlText w:val="%5)"/>
      <w:lvlJc w:val="left"/>
      <w:pPr>
        <w:snapToGrid/>
        <w:ind w:left="2549" w:hanging="420"/>
      </w:pPr>
    </w:lvl>
    <w:lvl w:ilvl="5" w:tplc="B32E588A">
      <w:start w:val="1"/>
      <w:numFmt w:val="lowerRoman"/>
      <w:lvlText w:val="%6."/>
      <w:lvlJc w:val="right"/>
      <w:pPr>
        <w:snapToGrid/>
        <w:ind w:left="2969" w:hanging="420"/>
      </w:pPr>
    </w:lvl>
    <w:lvl w:ilvl="6" w:tplc="05D4DBD6">
      <w:start w:val="1"/>
      <w:numFmt w:val="decimal"/>
      <w:lvlText w:val="%7."/>
      <w:lvlJc w:val="left"/>
      <w:pPr>
        <w:snapToGrid/>
        <w:ind w:left="3389" w:hanging="420"/>
      </w:pPr>
    </w:lvl>
    <w:lvl w:ilvl="7" w:tplc="3B5A4A04">
      <w:start w:val="1"/>
      <w:numFmt w:val="lowerLetter"/>
      <w:lvlText w:val="%8)"/>
      <w:lvlJc w:val="left"/>
      <w:pPr>
        <w:snapToGrid/>
        <w:ind w:left="3809" w:hanging="420"/>
      </w:pPr>
    </w:lvl>
    <w:lvl w:ilvl="8" w:tplc="F42620CC">
      <w:start w:val="1"/>
      <w:numFmt w:val="lowerRoman"/>
      <w:lvlText w:val="%9."/>
      <w:lvlJc w:val="right"/>
      <w:pPr>
        <w:snapToGrid/>
        <w:ind w:left="4229"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compressPunctuation"/>
  <w:footnotePr>
    <w:footnote w:id="-1"/>
    <w:footnote w:id="0"/>
  </w:footnotePr>
  <w:endnotePr>
    <w:endnote w:id="-1"/>
    <w:endnote w:id="0"/>
  </w:endnotePr>
  <w:compat>
    <w:balanceSingleByteDoubleByteWidth/>
    <w:ulTrailSpace/>
    <w:doNotExpandShiftReturn/>
    <w:useFELayout/>
  </w:compat>
  <w:rsids>
    <w:rsidRoot w:val="0020179D"/>
    <w:rsid w:val="0020179D"/>
    <w:rsid w:val="00F727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宋体" w:hAnsi="等线" w:cs="等线"/>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79D"/>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20179D"/>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20179D"/>
    <w:rPr>
      <w:rFonts w:ascii="Arial" w:eastAsia="Arial" w:hAnsi="Arial" w:cs="Arial"/>
      <w:sz w:val="40"/>
      <w:szCs w:val="40"/>
    </w:rPr>
  </w:style>
  <w:style w:type="paragraph" w:customStyle="1" w:styleId="Heading2">
    <w:name w:val="Heading 2"/>
    <w:basedOn w:val="a"/>
    <w:next w:val="a"/>
    <w:link w:val="Heading2Char"/>
    <w:uiPriority w:val="9"/>
    <w:unhideWhenUsed/>
    <w:qFormat/>
    <w:rsid w:val="0020179D"/>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20179D"/>
    <w:rPr>
      <w:rFonts w:ascii="Arial" w:eastAsia="Arial" w:hAnsi="Arial" w:cs="Arial"/>
      <w:sz w:val="34"/>
    </w:rPr>
  </w:style>
  <w:style w:type="paragraph" w:customStyle="1" w:styleId="Heading3">
    <w:name w:val="Heading 3"/>
    <w:basedOn w:val="a"/>
    <w:next w:val="a"/>
    <w:link w:val="Heading3Char"/>
    <w:uiPriority w:val="9"/>
    <w:unhideWhenUsed/>
    <w:qFormat/>
    <w:rsid w:val="0020179D"/>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20179D"/>
    <w:rPr>
      <w:rFonts w:ascii="Arial" w:eastAsia="Arial" w:hAnsi="Arial" w:cs="Arial"/>
      <w:sz w:val="30"/>
      <w:szCs w:val="30"/>
    </w:rPr>
  </w:style>
  <w:style w:type="paragraph" w:customStyle="1" w:styleId="Heading4">
    <w:name w:val="Heading 4"/>
    <w:basedOn w:val="a"/>
    <w:next w:val="a"/>
    <w:link w:val="Heading4Char"/>
    <w:uiPriority w:val="9"/>
    <w:unhideWhenUsed/>
    <w:qFormat/>
    <w:rsid w:val="0020179D"/>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20179D"/>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20179D"/>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20179D"/>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20179D"/>
    <w:pPr>
      <w:keepNext/>
      <w:keepLines/>
      <w:spacing w:before="320" w:after="200"/>
      <w:outlineLvl w:val="5"/>
    </w:pPr>
    <w:rPr>
      <w:rFonts w:ascii="Arial" w:eastAsia="Arial" w:hAnsi="Arial" w:cs="Arial"/>
      <w:b/>
      <w:bCs/>
      <w:sz w:val="22"/>
    </w:rPr>
  </w:style>
  <w:style w:type="character" w:customStyle="1" w:styleId="Heading6Char">
    <w:name w:val="Heading 6 Char"/>
    <w:basedOn w:val="a0"/>
    <w:link w:val="Heading6"/>
    <w:uiPriority w:val="9"/>
    <w:rsid w:val="0020179D"/>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20179D"/>
    <w:pPr>
      <w:keepNext/>
      <w:keepLines/>
      <w:spacing w:before="320" w:after="200"/>
      <w:outlineLvl w:val="6"/>
    </w:pPr>
    <w:rPr>
      <w:rFonts w:ascii="Arial" w:eastAsia="Arial" w:hAnsi="Arial" w:cs="Arial"/>
      <w:b/>
      <w:bCs/>
      <w:i/>
      <w:iCs/>
      <w:sz w:val="22"/>
    </w:rPr>
  </w:style>
  <w:style w:type="character" w:customStyle="1" w:styleId="Heading7Char">
    <w:name w:val="Heading 7 Char"/>
    <w:basedOn w:val="a0"/>
    <w:link w:val="Heading7"/>
    <w:uiPriority w:val="9"/>
    <w:rsid w:val="0020179D"/>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20179D"/>
    <w:pPr>
      <w:keepNext/>
      <w:keepLines/>
      <w:spacing w:before="320" w:after="200"/>
      <w:outlineLvl w:val="7"/>
    </w:pPr>
    <w:rPr>
      <w:rFonts w:ascii="Arial" w:eastAsia="Arial" w:hAnsi="Arial" w:cs="Arial"/>
      <w:i/>
      <w:iCs/>
      <w:sz w:val="22"/>
    </w:rPr>
  </w:style>
  <w:style w:type="character" w:customStyle="1" w:styleId="Heading8Char">
    <w:name w:val="Heading 8 Char"/>
    <w:basedOn w:val="a0"/>
    <w:link w:val="Heading8"/>
    <w:uiPriority w:val="9"/>
    <w:rsid w:val="0020179D"/>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20179D"/>
    <w:pPr>
      <w:keepNext/>
      <w:keepLines/>
      <w:spacing w:before="320" w:after="200"/>
      <w:outlineLvl w:val="8"/>
    </w:pPr>
    <w:rPr>
      <w:rFonts w:ascii="Arial" w:eastAsia="Arial" w:hAnsi="Arial" w:cs="Arial"/>
      <w:i/>
      <w:iCs/>
      <w:szCs w:val="21"/>
    </w:rPr>
  </w:style>
  <w:style w:type="character" w:customStyle="1" w:styleId="Heading9Char">
    <w:name w:val="Heading 9 Char"/>
    <w:basedOn w:val="a0"/>
    <w:link w:val="Heading9"/>
    <w:uiPriority w:val="9"/>
    <w:rsid w:val="0020179D"/>
    <w:rPr>
      <w:rFonts w:ascii="Arial" w:eastAsia="Arial" w:hAnsi="Arial" w:cs="Arial"/>
      <w:i/>
      <w:iCs/>
      <w:sz w:val="21"/>
      <w:szCs w:val="21"/>
    </w:rPr>
  </w:style>
  <w:style w:type="paragraph" w:styleId="a3">
    <w:name w:val="No Spacing"/>
    <w:uiPriority w:val="1"/>
    <w:qFormat/>
    <w:rsid w:val="0020179D"/>
  </w:style>
  <w:style w:type="character" w:customStyle="1" w:styleId="TitleChar">
    <w:name w:val="Title Char"/>
    <w:basedOn w:val="a0"/>
    <w:link w:val="a4"/>
    <w:uiPriority w:val="10"/>
    <w:rsid w:val="0020179D"/>
    <w:rPr>
      <w:sz w:val="48"/>
      <w:szCs w:val="48"/>
    </w:rPr>
  </w:style>
  <w:style w:type="paragraph" w:styleId="a5">
    <w:name w:val="Subtitle"/>
    <w:basedOn w:val="a"/>
    <w:next w:val="a"/>
    <w:link w:val="Char"/>
    <w:uiPriority w:val="11"/>
    <w:qFormat/>
    <w:rsid w:val="0020179D"/>
    <w:pPr>
      <w:spacing w:before="200" w:after="200"/>
    </w:pPr>
    <w:rPr>
      <w:sz w:val="24"/>
      <w:szCs w:val="24"/>
    </w:rPr>
  </w:style>
  <w:style w:type="character" w:customStyle="1" w:styleId="Char">
    <w:name w:val="副标题 Char"/>
    <w:basedOn w:val="a0"/>
    <w:link w:val="a5"/>
    <w:uiPriority w:val="11"/>
    <w:rsid w:val="0020179D"/>
    <w:rPr>
      <w:sz w:val="24"/>
      <w:szCs w:val="24"/>
    </w:rPr>
  </w:style>
  <w:style w:type="paragraph" w:styleId="a6">
    <w:name w:val="Quote"/>
    <w:basedOn w:val="a"/>
    <w:next w:val="a"/>
    <w:link w:val="Char0"/>
    <w:uiPriority w:val="29"/>
    <w:qFormat/>
    <w:rsid w:val="0020179D"/>
    <w:pPr>
      <w:ind w:left="720" w:right="720"/>
    </w:pPr>
    <w:rPr>
      <w:i/>
    </w:rPr>
  </w:style>
  <w:style w:type="character" w:customStyle="1" w:styleId="Char0">
    <w:name w:val="引用 Char"/>
    <w:link w:val="a6"/>
    <w:uiPriority w:val="29"/>
    <w:rsid w:val="0020179D"/>
    <w:rPr>
      <w:i/>
    </w:rPr>
  </w:style>
  <w:style w:type="paragraph" w:styleId="a7">
    <w:name w:val="Intense Quote"/>
    <w:basedOn w:val="a"/>
    <w:next w:val="a"/>
    <w:link w:val="Char1"/>
    <w:uiPriority w:val="30"/>
    <w:qFormat/>
    <w:rsid w:val="0020179D"/>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1">
    <w:name w:val="明显引用 Char"/>
    <w:link w:val="a7"/>
    <w:uiPriority w:val="30"/>
    <w:rsid w:val="0020179D"/>
    <w:rPr>
      <w:i/>
    </w:rPr>
  </w:style>
  <w:style w:type="character" w:customStyle="1" w:styleId="HeaderChar">
    <w:name w:val="Header Char"/>
    <w:basedOn w:val="a0"/>
    <w:link w:val="Header"/>
    <w:uiPriority w:val="99"/>
    <w:rsid w:val="0020179D"/>
  </w:style>
  <w:style w:type="character" w:customStyle="1" w:styleId="FooterChar">
    <w:name w:val="Footer Char"/>
    <w:basedOn w:val="a0"/>
    <w:link w:val="Footer"/>
    <w:uiPriority w:val="99"/>
    <w:rsid w:val="0020179D"/>
  </w:style>
  <w:style w:type="paragraph" w:customStyle="1" w:styleId="Caption">
    <w:name w:val="Caption"/>
    <w:basedOn w:val="a"/>
    <w:next w:val="a"/>
    <w:uiPriority w:val="35"/>
    <w:semiHidden/>
    <w:unhideWhenUsed/>
    <w:qFormat/>
    <w:rsid w:val="0020179D"/>
    <w:pPr>
      <w:spacing w:line="276" w:lineRule="auto"/>
    </w:pPr>
    <w:rPr>
      <w:b/>
      <w:bCs/>
      <w:color w:val="5B9BD5" w:themeColor="accent1"/>
      <w:sz w:val="18"/>
      <w:szCs w:val="18"/>
    </w:rPr>
  </w:style>
  <w:style w:type="character" w:customStyle="1" w:styleId="CaptionChar">
    <w:name w:val="Caption Char"/>
    <w:link w:val="Footer"/>
    <w:uiPriority w:val="99"/>
    <w:rsid w:val="0020179D"/>
  </w:style>
  <w:style w:type="table" w:styleId="a8">
    <w:name w:val="Table Grid"/>
    <w:basedOn w:val="a1"/>
    <w:uiPriority w:val="59"/>
    <w:rsid w:val="002017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1"/>
    <w:uiPriority w:val="59"/>
    <w:rsid w:val="0020179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1">
    <w:name w:val="Plain Table 1"/>
    <w:basedOn w:val="a1"/>
    <w:uiPriority w:val="59"/>
    <w:rsid w:val="0020179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D"/>
      </w:tcPr>
    </w:tblStylePr>
    <w:tblStylePr w:type="band2Vert">
      <w:pPr>
        <w:snapToGrid/>
      </w:pPr>
    </w:tblStylePr>
    <w:tblStylePr w:type="band1Horz">
      <w:pPr>
        <w:snapToGrid/>
      </w:pPr>
      <w:tblPr/>
      <w:tcPr>
        <w:shd w:val="clear" w:color="FFFFFF"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2">
    <w:name w:val="Plain Table 2"/>
    <w:basedOn w:val="a1"/>
    <w:uiPriority w:val="59"/>
    <w:rsid w:val="0020179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3">
    <w:name w:val="Plain Table 3"/>
    <w:basedOn w:val="a1"/>
    <w:uiPriority w:val="99"/>
    <w:rsid w:val="0020179D"/>
    <w:tblPr>
      <w:tblStyleRowBandSize w:val="1"/>
      <w:tblStyleColBandSize w:val="1"/>
      <w:tblInd w:w="0" w:type="dxa"/>
      <w:tblCellMar>
        <w:top w:w="0" w:type="dxa"/>
        <w:left w:w="108" w:type="dxa"/>
        <w:bottom w:w="0" w:type="dxa"/>
        <w:right w:w="108" w:type="dxa"/>
      </w:tblCellMar>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4">
    <w:name w:val="Plain Table 4"/>
    <w:basedOn w:val="a1"/>
    <w:uiPriority w:val="99"/>
    <w:rsid w:val="0020179D"/>
    <w:tblPr>
      <w:tblStyleRowBandSize w:val="1"/>
      <w:tblStyleColBandSize w:val="1"/>
      <w:tblInd w:w="0" w:type="dxa"/>
      <w:tblCellMar>
        <w:top w:w="0" w:type="dxa"/>
        <w:left w:w="108" w:type="dxa"/>
        <w:bottom w:w="0" w:type="dxa"/>
        <w:right w:w="108" w:type="dxa"/>
      </w:tblCellMar>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5">
    <w:name w:val="Plain Table 5"/>
    <w:basedOn w:val="a1"/>
    <w:uiPriority w:val="99"/>
    <w:rsid w:val="0020179D"/>
    <w:tblPr>
      <w:tblStyleRowBandSize w:val="1"/>
      <w:tblStyleColBandSize w:val="1"/>
      <w:tblInd w:w="0" w:type="dxa"/>
      <w:tblCellMar>
        <w:top w:w="0" w:type="dxa"/>
        <w:left w:w="108" w:type="dxa"/>
        <w:bottom w:w="0" w:type="dxa"/>
        <w:right w:w="108" w:type="dxa"/>
      </w:tblCellMar>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
    <w:name w:val="Grid Table 1 Light"/>
    <w:basedOn w:val="a1"/>
    <w:uiPriority w:val="99"/>
    <w:rsid w:val="0020179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rsid w:val="0020179D"/>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9EC4E6"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rsid w:val="0020179D"/>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F4B28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rsid w:val="0020179D"/>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CACACA"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rsid w:val="0020179D"/>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FFDA6A"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rsid w:val="0020179D"/>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91ACDC"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rsid w:val="0020179D"/>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AAD190"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
    <w:name w:val="Grid Table 2"/>
    <w:basedOn w:val="a1"/>
    <w:uiPriority w:val="99"/>
    <w:rsid w:val="0020179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rsid w:val="0020179D"/>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pPr>
        <w:snapToGrid/>
      </w:pPr>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rsid w:val="0020179D"/>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pPr>
        <w:snapToGrid/>
      </w:pPr>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rsid w:val="0020179D"/>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pPr>
        <w:snapToGrid/>
      </w:pPr>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rsid w:val="0020179D"/>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pPr>
        <w:snapToGrid/>
      </w:pPr>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rsid w:val="0020179D"/>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pPr>
        <w:snapToGrid/>
      </w:pPr>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rsid w:val="0020179D"/>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
    <w:name w:val="Grid Table 3"/>
    <w:basedOn w:val="a1"/>
    <w:uiPriority w:val="99"/>
    <w:rsid w:val="0020179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rsid w:val="0020179D"/>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rsid w:val="0020179D"/>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rsid w:val="0020179D"/>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rsid w:val="0020179D"/>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rsid w:val="0020179D"/>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rsid w:val="0020179D"/>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
    <w:name w:val="Grid Table 4"/>
    <w:basedOn w:val="a1"/>
    <w:uiPriority w:val="59"/>
    <w:rsid w:val="0020179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rsid w:val="0020179D"/>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pPr>
        <w:snapToGrid/>
      </w:pPr>
      <w:rPr>
        <w:b/>
        <w:color w:val="404040"/>
      </w:rPr>
      <w:tblPr/>
      <w:tcPr>
        <w:tcBorders>
          <w:top w:val="single" w:sz="4" w:space="0" w:color="68A2D8"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EEBF6"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EEBF6"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rsid w:val="0020179D"/>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pPr>
        <w:snapToGrid/>
      </w:pPr>
      <w:rPr>
        <w:b/>
        <w:color w:val="404040"/>
      </w:rPr>
      <w:tblPr/>
      <w:tcPr>
        <w:tcBorders>
          <w:top w:val="single" w:sz="4" w:space="0" w:color="F4B184"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rsid w:val="0020179D"/>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pPr>
        <w:snapToGrid/>
      </w:pPr>
      <w:rPr>
        <w:b/>
        <w:color w:val="404040"/>
      </w:rPr>
      <w:tblPr/>
      <w:tcPr>
        <w:tcBorders>
          <w:top w:val="single" w:sz="4" w:space="0" w:color="A5A5A5"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rsid w:val="0020179D"/>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pPr>
        <w:snapToGrid/>
      </w:pPr>
      <w:rPr>
        <w:b/>
        <w:color w:val="404040"/>
      </w:rPr>
      <w:tblPr/>
      <w:tcPr>
        <w:tcBorders>
          <w:top w:val="single" w:sz="4" w:space="0" w:color="FFD865"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rsid w:val="0020179D"/>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pPr>
        <w:snapToGrid/>
      </w:pPr>
      <w:rPr>
        <w:b/>
        <w:color w:val="404040"/>
      </w:rPr>
      <w:tblPr/>
      <w:tcPr>
        <w:tcBorders>
          <w:top w:val="single" w:sz="4" w:space="0" w:color="4472C4"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rsid w:val="0020179D"/>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pPr>
        <w:snapToGrid/>
      </w:pPr>
      <w:rPr>
        <w:b/>
        <w:color w:val="404040"/>
      </w:rPr>
      <w:tblPr/>
      <w:tcPr>
        <w:tcBorders>
          <w:top w:val="single" w:sz="4" w:space="0" w:color="70AD47"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
    <w:name w:val="Grid Table 5 Dark"/>
    <w:basedOn w:val="a1"/>
    <w:uiPriority w:val="99"/>
    <w:rsid w:val="0020179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rsid w:val="0020179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5B9BD5"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5B9BD5" w:themeFill="accent1"/>
      </w:tcPr>
    </w:tblStylePr>
    <w:tblStylePr w:type="firstCol">
      <w:pPr>
        <w:snapToGrid/>
      </w:pPr>
      <w:rPr>
        <w:rFonts w:ascii="Arial" w:hAnsi="Arial"/>
        <w:b/>
        <w:color w:val="FFFFFF"/>
        <w:sz w:val="22"/>
      </w:rPr>
      <w:tblPr/>
      <w:tcPr>
        <w:shd w:val="clear" w:color="FFFFFF" w:fill="5B9BD5" w:themeFill="accent1"/>
      </w:tcPr>
    </w:tblStylePr>
    <w:tblStylePr w:type="lastCol">
      <w:pPr>
        <w:snapToGrid/>
      </w:pPr>
      <w:rPr>
        <w:rFonts w:ascii="Arial" w:hAnsi="Arial"/>
        <w:b/>
        <w:color w:val="FFFFFF"/>
        <w:sz w:val="22"/>
      </w:rPr>
      <w:tblPr/>
      <w:tcPr>
        <w:shd w:val="clear" w:color="FFFFFF" w:fill="5B9BD5" w:themeFill="accent1"/>
      </w:tcPr>
    </w:tblStylePr>
    <w:tblStylePr w:type="band1Vert">
      <w:pPr>
        <w:snapToGrid/>
      </w:pPr>
      <w:tblPr/>
      <w:tcPr>
        <w:shd w:val="clear" w:color="FFFFFF" w:fill="B3D0EB" w:themeFill="accent1" w:themeFillTint="75"/>
      </w:tcPr>
    </w:tblStylePr>
    <w:tblStylePr w:type="band2Vert">
      <w:pPr>
        <w:snapToGrid/>
      </w:pPr>
    </w:tblStylePr>
    <w:tblStylePr w:type="band1Horz">
      <w:pPr>
        <w:snapToGrid/>
      </w:pPr>
      <w:tblPr/>
      <w:tcPr>
        <w:shd w:val="clear" w:color="FFFFFF" w:fill="B3D0EB"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rsid w:val="0020179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ED7D31"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ED7D31" w:themeFill="accent2"/>
      </w:tcPr>
    </w:tblStylePr>
    <w:tblStylePr w:type="firstCol">
      <w:pPr>
        <w:snapToGrid/>
      </w:pPr>
      <w:rPr>
        <w:rFonts w:ascii="Arial" w:hAnsi="Arial"/>
        <w:b/>
        <w:color w:val="FFFFFF"/>
        <w:sz w:val="22"/>
      </w:rPr>
      <w:tblPr/>
      <w:tcPr>
        <w:shd w:val="clear" w:color="FFFFFF" w:fill="ED7D31" w:themeFill="accent2"/>
      </w:tcPr>
    </w:tblStylePr>
    <w:tblStylePr w:type="lastCol">
      <w:pPr>
        <w:snapToGrid/>
      </w:pPr>
      <w:rPr>
        <w:rFonts w:ascii="Arial" w:hAnsi="Arial"/>
        <w:b/>
        <w:color w:val="FFFFFF"/>
        <w:sz w:val="22"/>
      </w:rPr>
      <w:tblPr/>
      <w:tcPr>
        <w:shd w:val="clear" w:color="FFFFFF" w:fill="ED7D31" w:themeFill="accent2"/>
      </w:tcPr>
    </w:tblStylePr>
    <w:tblStylePr w:type="band1Vert">
      <w:pPr>
        <w:snapToGrid/>
      </w:pPr>
      <w:tblPr/>
      <w:tcPr>
        <w:shd w:val="clear" w:color="FFFFFF" w:fill="F6C3A0" w:themeFill="accent2" w:themeFillTint="75"/>
      </w:tcPr>
    </w:tblStylePr>
    <w:tblStylePr w:type="band2Vert">
      <w:pPr>
        <w:snapToGrid/>
      </w:pPr>
    </w:tblStylePr>
    <w:tblStylePr w:type="band1Horz">
      <w:pPr>
        <w:snapToGrid/>
      </w:pPr>
      <w:tblPr/>
      <w:tcPr>
        <w:shd w:val="clear" w:color="FFFFFF" w:fill="F6C3A0"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rsid w:val="0020179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A5A5A5"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A5A5A5" w:themeFill="accent3"/>
      </w:tcPr>
    </w:tblStylePr>
    <w:tblStylePr w:type="firstCol">
      <w:pPr>
        <w:snapToGrid/>
      </w:pPr>
      <w:rPr>
        <w:rFonts w:ascii="Arial" w:hAnsi="Arial"/>
        <w:b/>
        <w:color w:val="FFFFFF"/>
        <w:sz w:val="22"/>
      </w:rPr>
      <w:tblPr/>
      <w:tcPr>
        <w:shd w:val="clear" w:color="FFFFFF" w:fill="A5A5A5" w:themeFill="accent3"/>
      </w:tcPr>
    </w:tblStylePr>
    <w:tblStylePr w:type="lastCol">
      <w:pPr>
        <w:snapToGrid/>
      </w:pPr>
      <w:rPr>
        <w:rFonts w:ascii="Arial" w:hAnsi="Arial"/>
        <w:b/>
        <w:color w:val="FFFFFF"/>
        <w:sz w:val="22"/>
      </w:rPr>
      <w:tblPr/>
      <w:tcPr>
        <w:shd w:val="clear" w:color="FFFFFF" w:fill="A5A5A5" w:themeFill="accent3"/>
      </w:tcPr>
    </w:tblStylePr>
    <w:tblStylePr w:type="band1Vert">
      <w:pPr>
        <w:snapToGrid/>
      </w:pPr>
      <w:tblPr/>
      <w:tcPr>
        <w:shd w:val="clear" w:color="FFFFFF" w:fill="D5D5D5" w:themeFill="accent3" w:themeFillTint="75"/>
      </w:tcPr>
    </w:tblStylePr>
    <w:tblStylePr w:type="band2Vert">
      <w:pPr>
        <w:snapToGrid/>
      </w:pPr>
    </w:tblStylePr>
    <w:tblStylePr w:type="band1Horz">
      <w:pPr>
        <w:snapToGrid/>
      </w:pPr>
      <w:tblPr/>
      <w:tcPr>
        <w:shd w:val="clear" w:color="FFFFFF" w:fill="D5D5D5"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rsid w:val="0020179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FFC000"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FFC000" w:themeFill="accent4"/>
      </w:tcPr>
    </w:tblStylePr>
    <w:tblStylePr w:type="firstCol">
      <w:pPr>
        <w:snapToGrid/>
      </w:pPr>
      <w:rPr>
        <w:rFonts w:ascii="Arial" w:hAnsi="Arial"/>
        <w:b/>
        <w:color w:val="FFFFFF"/>
        <w:sz w:val="22"/>
      </w:rPr>
      <w:tblPr/>
      <w:tcPr>
        <w:shd w:val="clear" w:color="FFFFFF" w:fill="FFC000" w:themeFill="accent4"/>
      </w:tcPr>
    </w:tblStylePr>
    <w:tblStylePr w:type="lastCol">
      <w:pPr>
        <w:snapToGrid/>
      </w:pPr>
      <w:rPr>
        <w:rFonts w:ascii="Arial" w:hAnsi="Arial"/>
        <w:b/>
        <w:color w:val="FFFFFF"/>
        <w:sz w:val="22"/>
      </w:rPr>
      <w:tblPr/>
      <w:tcPr>
        <w:shd w:val="clear" w:color="FFFFFF" w:fill="FFC000" w:themeFill="accent4"/>
      </w:tcPr>
    </w:tblStylePr>
    <w:tblStylePr w:type="band1Vert">
      <w:pPr>
        <w:snapToGrid/>
      </w:pPr>
      <w:tblPr/>
      <w:tcPr>
        <w:shd w:val="clear" w:color="FFFFFF" w:fill="FFE28A" w:themeFill="accent4" w:themeFillTint="75"/>
      </w:tcPr>
    </w:tblStylePr>
    <w:tblStylePr w:type="band2Vert">
      <w:pPr>
        <w:snapToGrid/>
      </w:pPr>
    </w:tblStylePr>
    <w:tblStylePr w:type="band1Horz">
      <w:pPr>
        <w:snapToGrid/>
      </w:pPr>
      <w:tblPr/>
      <w:tcPr>
        <w:shd w:val="clear" w:color="FFFFFF" w:fill="FFE28A"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rsid w:val="0020179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472C4"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4472C4" w:themeFill="accent5"/>
      </w:tcPr>
    </w:tblStylePr>
    <w:tblStylePr w:type="firstCol">
      <w:pPr>
        <w:snapToGrid/>
      </w:pPr>
      <w:rPr>
        <w:rFonts w:ascii="Arial" w:hAnsi="Arial"/>
        <w:b/>
        <w:color w:val="FFFFFF"/>
        <w:sz w:val="22"/>
      </w:rPr>
      <w:tblPr/>
      <w:tcPr>
        <w:shd w:val="clear" w:color="FFFFFF" w:fill="4472C4" w:themeFill="accent5"/>
      </w:tcPr>
    </w:tblStylePr>
    <w:tblStylePr w:type="lastCol">
      <w:pPr>
        <w:snapToGrid/>
      </w:pPr>
      <w:rPr>
        <w:rFonts w:ascii="Arial" w:hAnsi="Arial"/>
        <w:b/>
        <w:color w:val="FFFFFF"/>
        <w:sz w:val="22"/>
      </w:rPr>
      <w:tblPr/>
      <w:tcPr>
        <w:shd w:val="clear" w:color="FFFFFF" w:fill="4472C4" w:themeFill="accent5"/>
      </w:tcPr>
    </w:tblStylePr>
    <w:tblStylePr w:type="band1Vert">
      <w:pPr>
        <w:snapToGrid/>
      </w:pPr>
      <w:tblPr/>
      <w:tcPr>
        <w:shd w:val="clear" w:color="FFFFFF" w:fill="A9BEE4" w:themeFill="accent5" w:themeFillTint="75"/>
      </w:tcPr>
    </w:tblStylePr>
    <w:tblStylePr w:type="band2Vert">
      <w:pPr>
        <w:snapToGrid/>
      </w:pPr>
    </w:tblStylePr>
    <w:tblStylePr w:type="band1Horz">
      <w:pPr>
        <w:snapToGrid/>
      </w:pPr>
      <w:tblPr/>
      <w:tcPr>
        <w:shd w:val="clear" w:color="FFFFFF" w:fill="A9BE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rsid w:val="0020179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70AD47"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70AD47" w:themeFill="accent6"/>
      </w:tcPr>
    </w:tblStylePr>
    <w:tblStylePr w:type="firstCol">
      <w:pPr>
        <w:snapToGrid/>
      </w:pPr>
      <w:rPr>
        <w:rFonts w:ascii="Arial" w:hAnsi="Arial"/>
        <w:b/>
        <w:color w:val="FFFFFF"/>
        <w:sz w:val="22"/>
      </w:rPr>
      <w:tblPr/>
      <w:tcPr>
        <w:shd w:val="clear" w:color="FFFFFF" w:fill="70AD47" w:themeFill="accent6"/>
      </w:tcPr>
    </w:tblStylePr>
    <w:tblStylePr w:type="lastCol">
      <w:pPr>
        <w:snapToGrid/>
      </w:pPr>
      <w:rPr>
        <w:rFonts w:ascii="Arial" w:hAnsi="Arial"/>
        <w:b/>
        <w:color w:val="FFFFFF"/>
        <w:sz w:val="22"/>
      </w:rPr>
      <w:tblPr/>
      <w:tcPr>
        <w:shd w:val="clear" w:color="FFFFFF" w:fill="70AD47" w:themeFill="accent6"/>
      </w:tcPr>
    </w:tblStylePr>
    <w:tblStylePr w:type="band1Vert">
      <w:pPr>
        <w:snapToGrid/>
      </w:pPr>
      <w:tblPr/>
      <w:tcPr>
        <w:shd w:val="clear" w:color="FFFFFF" w:fill="BCDBA8" w:themeFill="accent6" w:themeFillTint="75"/>
      </w:tcPr>
    </w:tblStylePr>
    <w:tblStylePr w:type="band2Vert">
      <w:pPr>
        <w:snapToGrid/>
      </w:pPr>
    </w:tblStylePr>
    <w:tblStylePr w:type="band1Horz">
      <w:pPr>
        <w:snapToGrid/>
      </w:pPr>
      <w:tblPr/>
      <w:tcPr>
        <w:shd w:val="clear" w:color="FFFFFF" w:fill="BCDBA8"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
    <w:name w:val="Grid Table 6 Colorful"/>
    <w:basedOn w:val="a1"/>
    <w:uiPriority w:val="99"/>
    <w:rsid w:val="0020179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rsid w:val="0020179D"/>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pPr>
        <w:snapToGrid/>
      </w:pPr>
      <w:rPr>
        <w:b/>
        <w:color w:val="ACCCEA" w:themeColor="accent1" w:themeTint="80" w:themeShade="95"/>
      </w:rPr>
      <w:tblPr/>
      <w:tcPr>
        <w:tcBorders>
          <w:bottom w:val="single" w:sz="12" w:space="0" w:color="ACCCEA" w:themeColor="accent1" w:themeTint="80"/>
        </w:tcBorders>
      </w:tcPr>
    </w:tblStylePr>
    <w:tblStylePr w:type="lastRow">
      <w:pPr>
        <w:snapToGrid/>
      </w:pPr>
      <w:rPr>
        <w:b/>
        <w:color w:val="ACCCEA" w:themeColor="accent1" w:themeTint="80" w:themeShade="95"/>
      </w:rPr>
    </w:tblStylePr>
    <w:tblStylePr w:type="firstCol">
      <w:pPr>
        <w:snapToGrid/>
      </w:pPr>
      <w:rPr>
        <w:b/>
        <w:color w:val="ACCCEA" w:themeColor="accent1" w:themeTint="80" w:themeShade="95"/>
      </w:rPr>
    </w:tblStylePr>
    <w:tblStylePr w:type="lastCol">
      <w:pPr>
        <w:snapToGrid/>
      </w:pPr>
      <w:rPr>
        <w:b/>
        <w:color w:val="ACCCEA" w:themeColor="accent1" w:themeTint="80" w:themeShade="95"/>
      </w:rPr>
    </w:tblStylePr>
    <w:tblStylePr w:type="band1Vert">
      <w:pPr>
        <w:snapToGrid/>
      </w:pPr>
      <w:tblPr/>
      <w:tcPr>
        <w:shd w:val="clear" w:color="FFFFFF" w:fill="DDEAF6" w:themeFill="accent1" w:themeFillTint="34"/>
      </w:tcPr>
    </w:tblStylePr>
    <w:tblStylePr w:type="band2Vert">
      <w:pPr>
        <w:snapToGrid/>
      </w:pPr>
    </w:tblStylePr>
    <w:tblStylePr w:type="band1Horz">
      <w:pPr>
        <w:snapToGrid/>
      </w:pPr>
      <w:rPr>
        <w:rFonts w:ascii="Arial" w:hAnsi="Arial"/>
        <w:color w:val="ACCCEA" w:themeColor="accent1" w:themeTint="80" w:themeShade="95"/>
        <w:sz w:val="22"/>
      </w:rPr>
      <w:tblPr/>
      <w:tcPr>
        <w:shd w:val="clear" w:color="FFFFFF" w:fill="DDEAF6" w:themeFill="accent1" w:themeFillTint="34"/>
      </w:tcPr>
    </w:tblStylePr>
    <w:tblStylePr w:type="band2Horz">
      <w:pPr>
        <w:snapToGrid/>
      </w:pPr>
      <w:rPr>
        <w:rFonts w:ascii="Arial" w:hAnsi="Arial"/>
        <w:color w:val="ACCCEA"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rsid w:val="0020179D"/>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pPr>
        <w:snapToGrid/>
      </w:pPr>
      <w:rPr>
        <w:b/>
        <w:color w:val="F4B184" w:themeColor="accent2" w:themeTint="97" w:themeShade="95"/>
      </w:rPr>
      <w:tblPr/>
      <w:tcPr>
        <w:tcBorders>
          <w:bottom w:val="single" w:sz="12" w:space="0" w:color="F4B184" w:themeColor="accent2" w:themeTint="97"/>
        </w:tcBorders>
      </w:tcPr>
    </w:tblStylePr>
    <w:tblStylePr w:type="lastRow">
      <w:pPr>
        <w:snapToGrid/>
      </w:pPr>
      <w:rPr>
        <w:b/>
        <w:color w:val="F4B184" w:themeColor="accent2" w:themeTint="97" w:themeShade="95"/>
      </w:r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FFFFFF"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rsid w:val="0020179D"/>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pPr>
        <w:snapToGrid/>
      </w:pPr>
      <w:rPr>
        <w:b/>
        <w:color w:val="A5A5A5" w:themeColor="accent3" w:themeTint="FE" w:themeShade="95"/>
      </w:rPr>
      <w:tblPr/>
      <w:tcPr>
        <w:tcBorders>
          <w:bottom w:val="single" w:sz="12" w:space="0" w:color="A5A5A5" w:themeColor="accent3" w:themeTint="FE"/>
        </w:tcBorders>
      </w:tcPr>
    </w:tblStylePr>
    <w:tblStylePr w:type="lastRow">
      <w:pPr>
        <w:snapToGrid/>
      </w:pPr>
      <w:rPr>
        <w:b/>
        <w:color w:val="A5A5A5" w:themeColor="accent3" w:themeTint="FE" w:themeShade="95"/>
      </w:rPr>
    </w:tblStylePr>
    <w:tblStylePr w:type="firstCol">
      <w:pPr>
        <w:snapToGrid/>
      </w:pPr>
      <w:rPr>
        <w:b/>
        <w:color w:val="A5A5A5" w:themeColor="accent3" w:themeTint="FE" w:themeShade="95"/>
      </w:rPr>
    </w:tblStylePr>
    <w:tblStylePr w:type="lastCol">
      <w:pPr>
        <w:snapToGrid/>
      </w:pPr>
      <w:rPr>
        <w:b/>
        <w:color w:val="A5A5A5" w:themeColor="accent3" w:themeTint="FE" w:themeShade="95"/>
      </w:rPr>
    </w:tblStylePr>
    <w:tblStylePr w:type="band1Vert">
      <w:pPr>
        <w:snapToGrid/>
      </w:pPr>
      <w:tblPr/>
      <w:tcPr>
        <w:shd w:val="clear" w:color="FFFFFF"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FFFFFF"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rsid w:val="0020179D"/>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pPr>
        <w:snapToGrid/>
      </w:pPr>
      <w:rPr>
        <w:b/>
        <w:color w:val="FFD865" w:themeColor="accent4" w:themeTint="9A" w:themeShade="95"/>
      </w:rPr>
      <w:tblPr/>
      <w:tcPr>
        <w:tcBorders>
          <w:bottom w:val="single" w:sz="12" w:space="0" w:color="FFD865" w:themeColor="accent4" w:themeTint="9A"/>
        </w:tcBorders>
      </w:tcPr>
    </w:tblStylePr>
    <w:tblStylePr w:type="lastRow">
      <w:pPr>
        <w:snapToGrid/>
      </w:pPr>
      <w:rPr>
        <w:b/>
        <w:color w:val="FFD865" w:themeColor="accent4" w:themeTint="9A" w:themeShade="95"/>
      </w:r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FFFFFF"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rsid w:val="0020179D"/>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pPr>
        <w:snapToGrid/>
      </w:pPr>
      <w:rPr>
        <w:b/>
        <w:color w:val="254175" w:themeColor="accent5" w:themeShade="95"/>
      </w:rPr>
      <w:tblPr/>
      <w:tcPr>
        <w:tcBorders>
          <w:bottom w:val="single" w:sz="12" w:space="0" w:color="4472C4" w:themeColor="accent5"/>
        </w:tcBorders>
      </w:tcPr>
    </w:tblStylePr>
    <w:tblStylePr w:type="lastRow">
      <w:pPr>
        <w:snapToGrid/>
      </w:pPr>
      <w:rPr>
        <w:b/>
        <w:color w:val="254175" w:themeColor="accent5" w:themeShade="95"/>
      </w:rPr>
    </w:tblStylePr>
    <w:tblStylePr w:type="firstCol">
      <w:pPr>
        <w:snapToGrid/>
      </w:pPr>
      <w:rPr>
        <w:b/>
        <w:color w:val="254175" w:themeColor="accent5" w:themeShade="95"/>
      </w:rPr>
    </w:tblStylePr>
    <w:tblStylePr w:type="lastCol">
      <w:pPr>
        <w:snapToGrid/>
      </w:pPr>
      <w:rPr>
        <w:b/>
        <w:color w:val="254175" w:themeColor="accent5" w:themeShade="95"/>
      </w:rPr>
    </w:tblStylePr>
    <w:tblStylePr w:type="band1Vert">
      <w:pPr>
        <w:snapToGrid/>
      </w:pPr>
      <w:tblPr/>
      <w:tcPr>
        <w:shd w:val="clear" w:color="FFFFFF" w:fill="D8E2F3" w:themeFill="accent5"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FFFFFF" w:fill="D8E2F3" w:themeFill="accent5"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rsid w:val="0020179D"/>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pPr>
        <w:snapToGrid/>
      </w:pPr>
      <w:rPr>
        <w:b/>
        <w:color w:val="254175" w:themeColor="accent5" w:themeShade="95"/>
      </w:rPr>
      <w:tblPr/>
      <w:tcPr>
        <w:tcBorders>
          <w:bottom w:val="single" w:sz="12" w:space="0" w:color="70AD47" w:themeColor="accent6"/>
        </w:tcBorders>
      </w:tcPr>
    </w:tblStylePr>
    <w:tblStylePr w:type="lastRow">
      <w:pPr>
        <w:snapToGrid/>
      </w:pPr>
      <w:rPr>
        <w:b/>
        <w:color w:val="254175" w:themeColor="accent5" w:themeShade="95"/>
      </w:rPr>
    </w:tblStylePr>
    <w:tblStylePr w:type="firstCol">
      <w:pPr>
        <w:snapToGrid/>
      </w:pPr>
      <w:rPr>
        <w:b/>
        <w:color w:val="254175" w:themeColor="accent5" w:themeShade="95"/>
      </w:rPr>
    </w:tblStylePr>
    <w:tblStylePr w:type="lastCol">
      <w:pPr>
        <w:snapToGrid/>
      </w:pPr>
      <w:rPr>
        <w:b/>
        <w:color w:val="254175" w:themeColor="accent5" w:themeShade="95"/>
      </w:rPr>
    </w:tblStylePr>
    <w:tblStylePr w:type="band1Vert">
      <w:pPr>
        <w:snapToGrid/>
      </w:pPr>
      <w:tblPr/>
      <w:tcPr>
        <w:shd w:val="clear" w:color="FFFFFF" w:fill="E1EFD8" w:themeFill="accent6"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FFFFFF" w:fill="E1EFD8" w:themeFill="accent6"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
    <w:name w:val="Grid Table 7 Colorful"/>
    <w:basedOn w:val="a1"/>
    <w:uiPriority w:val="99"/>
    <w:rsid w:val="0020179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rsid w:val="0020179D"/>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pPr>
        <w:snapToGrid/>
      </w:pPr>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Fill="light1"/>
      </w:tcPr>
    </w:tblStylePr>
    <w:tblStylePr w:type="lastRow">
      <w:pPr>
        <w:snapToGrid/>
      </w:pPr>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pPr>
        <w:snapToGrid/>
      </w:pPr>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pPr>
        <w:snapToGrid/>
      </w:pPr>
      <w:tblPr/>
      <w:tcPr>
        <w:shd w:val="clear" w:color="FFFFFF" w:fill="DDEAF6" w:themeFill="accent1" w:themeFillTint="34"/>
      </w:tcPr>
    </w:tblStylePr>
    <w:tblStylePr w:type="band2Vert">
      <w:pPr>
        <w:snapToGrid/>
      </w:pPr>
    </w:tblStylePr>
    <w:tblStylePr w:type="band1Horz">
      <w:pPr>
        <w:snapToGrid/>
      </w:pPr>
      <w:rPr>
        <w:rFonts w:ascii="Arial" w:hAnsi="Arial"/>
        <w:color w:val="ACCCEA" w:themeColor="accent1" w:themeTint="80" w:themeShade="95"/>
        <w:sz w:val="22"/>
      </w:rPr>
      <w:tblPr/>
      <w:tcPr>
        <w:shd w:val="clear" w:color="FFFFFF" w:fill="DDEAF6" w:themeFill="accent1" w:themeFillTint="34"/>
      </w:tcPr>
    </w:tblStylePr>
    <w:tblStylePr w:type="band2Horz">
      <w:pPr>
        <w:snapToGrid/>
      </w:pPr>
      <w:rPr>
        <w:rFonts w:ascii="Arial" w:hAnsi="Arial"/>
        <w:color w:val="ACCCEA"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rsid w:val="0020179D"/>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pPr>
        <w:snapToGrid/>
      </w:pPr>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pPr>
        <w:snapToGrid/>
      </w:pPr>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pPr>
        <w:snapToGrid/>
      </w:pPr>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pPr>
        <w:snapToGrid/>
      </w:pPr>
      <w:tblPr/>
      <w:tcPr>
        <w:shd w:val="clear" w:color="FFFFFF"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rsid w:val="0020179D"/>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pPr>
        <w:snapToGrid/>
      </w:pPr>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pPr>
        <w:snapToGrid/>
      </w:pPr>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pPr>
        <w:snapToGrid/>
      </w:pPr>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pPr>
        <w:snapToGrid/>
      </w:pPr>
      <w:tblPr/>
      <w:tcPr>
        <w:shd w:val="clear" w:color="FFFFFF"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FFFFFF"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rsid w:val="0020179D"/>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pPr>
        <w:snapToGrid/>
      </w:pPr>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pPr>
        <w:snapToGrid/>
      </w:pPr>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pPr>
        <w:snapToGrid/>
      </w:pPr>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pPr>
        <w:snapToGrid/>
      </w:pPr>
      <w:tblPr/>
      <w:tcPr>
        <w:shd w:val="clear" w:color="FFFFFF"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rsid w:val="0020179D"/>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pPr>
        <w:snapToGrid/>
      </w:pPr>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Fill="light1"/>
      </w:tcPr>
    </w:tblStylePr>
    <w:tblStylePr w:type="lastRow">
      <w:pPr>
        <w:snapToGrid/>
      </w:pPr>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pPr>
        <w:snapToGrid/>
      </w:pPr>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pPr>
        <w:snapToGrid/>
      </w:pPr>
      <w:tblPr/>
      <w:tcPr>
        <w:shd w:val="clear" w:color="FFFFFF" w:fill="D8E2F3" w:themeFill="accent5"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FFFFFF" w:fill="D8E2F3" w:themeFill="accent5"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rsid w:val="0020179D"/>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pPr>
        <w:snapToGrid/>
      </w:pPr>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pPr>
        <w:snapToGrid/>
      </w:pPr>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pPr>
        <w:snapToGrid/>
      </w:pPr>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pPr>
        <w:snapToGrid/>
      </w:pPr>
      <w:tblPr/>
      <w:tcPr>
        <w:shd w:val="clear" w:color="FFFFFF" w:fill="E1EFD8" w:themeFill="accent6" w:themeFillTint="34"/>
      </w:tcPr>
    </w:tblStylePr>
    <w:tblStylePr w:type="band2Vert">
      <w:pPr>
        <w:snapToGrid/>
      </w:pPr>
    </w:tblStylePr>
    <w:tblStylePr w:type="band1Horz">
      <w:pPr>
        <w:snapToGrid/>
      </w:pPr>
      <w:rPr>
        <w:rFonts w:ascii="Arial" w:hAnsi="Arial"/>
        <w:color w:val="416429" w:themeColor="accent6" w:themeShade="95"/>
        <w:sz w:val="22"/>
      </w:rPr>
      <w:tblPr/>
      <w:tcPr>
        <w:shd w:val="clear" w:color="FFFFFF" w:fill="E1EFD8" w:themeFill="accent6" w:themeFillTint="34"/>
      </w:tcPr>
    </w:tblStylePr>
    <w:tblStylePr w:type="band2Horz">
      <w:pPr>
        <w:snapToGrid/>
      </w:pPr>
      <w:rPr>
        <w:rFonts w:ascii="Arial" w:hAnsi="Arial"/>
        <w:color w:val="416429"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
    <w:name w:val="List Table 1 Light"/>
    <w:basedOn w:val="a1"/>
    <w:uiPriority w:val="99"/>
    <w:rsid w:val="0020179D"/>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rsid w:val="0020179D"/>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pPr>
        <w:snapToGrid/>
      </w:pPr>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5E5F4" w:themeFill="accent1" w:themeFillTint="40"/>
      </w:tcPr>
    </w:tblStylePr>
    <w:tblStylePr w:type="band2Vert">
      <w:pPr>
        <w:snapToGrid/>
      </w:pPr>
    </w:tblStylePr>
    <w:tblStylePr w:type="band1Horz">
      <w:pPr>
        <w:snapToGrid/>
      </w:pPr>
      <w:tblPr/>
      <w:tcPr>
        <w:shd w:val="clear" w:color="FFFFFF"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rsid w:val="0020179D"/>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pPr>
        <w:snapToGrid/>
      </w:pPr>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rsid w:val="0020179D"/>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pPr>
        <w:snapToGrid/>
      </w:pPr>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rsid w:val="0020179D"/>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pPr>
        <w:snapToGrid/>
      </w:pPr>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rsid w:val="0020179D"/>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pPr>
        <w:snapToGrid/>
      </w:pPr>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CFDBF0" w:themeFill="accent5" w:themeFillTint="40"/>
      </w:tcPr>
    </w:tblStylePr>
    <w:tblStylePr w:type="band2Vert">
      <w:pPr>
        <w:snapToGrid/>
      </w:pPr>
    </w:tblStylePr>
    <w:tblStylePr w:type="band1Horz">
      <w:pPr>
        <w:snapToGrid/>
      </w:pPr>
      <w:tblPr/>
      <w:tcPr>
        <w:shd w:val="clear" w:color="FFFFFF"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rsid w:val="0020179D"/>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
    <w:name w:val="List Table 2"/>
    <w:basedOn w:val="a1"/>
    <w:uiPriority w:val="99"/>
    <w:rsid w:val="0020179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rsid w:val="0020179D"/>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rsid w:val="0020179D"/>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rsid w:val="0020179D"/>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rsid w:val="0020179D"/>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rsid w:val="0020179D"/>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rsid w:val="0020179D"/>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
    <w:name w:val="List Table 3"/>
    <w:basedOn w:val="a1"/>
    <w:uiPriority w:val="99"/>
    <w:rsid w:val="0020179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rsid w:val="0020179D"/>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5B9BD5" w:themeColor="accent1"/>
          <w:right w:val="single" w:sz="4" w:space="0" w:color="5B9BD5"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5B9BD5" w:themeColor="accent1"/>
          <w:bottom w:val="single" w:sz="4" w:space="0" w:color="5B9BD5"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rsid w:val="0020179D"/>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F4B184"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F4B184" w:themeColor="accent2" w:themeTint="97"/>
          <w:bottom w:val="single" w:sz="4" w:space="0" w:color="F4B184"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rsid w:val="0020179D"/>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C9C9C9"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9C9C9" w:themeColor="accent3" w:themeTint="98"/>
          <w:bottom w:val="single" w:sz="4" w:space="0" w:color="C9C9C9"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rsid w:val="0020179D"/>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FFD865"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FFD865" w:themeColor="accent4" w:themeTint="9A"/>
          <w:bottom w:val="single" w:sz="4" w:space="0" w:color="FFD865"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rsid w:val="0020179D"/>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8DA9DB"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8DA9DB" w:themeColor="accent5" w:themeTint="9A"/>
          <w:bottom w:val="single" w:sz="4" w:space="0" w:color="8DA9DB"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rsid w:val="0020179D"/>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A9D08E"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A9D08E" w:themeColor="accent6" w:themeTint="98"/>
          <w:bottom w:val="single" w:sz="4" w:space="0" w:color="A9D08E"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
    <w:name w:val="List Table 4"/>
    <w:basedOn w:val="a1"/>
    <w:uiPriority w:val="99"/>
    <w:rsid w:val="0020179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rsid w:val="0020179D"/>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rsid w:val="0020179D"/>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ED7D31"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rsid w:val="0020179D"/>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A5A5A5"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rsid w:val="0020179D"/>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FFC000"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rsid w:val="0020179D"/>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472C4"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rsid w:val="0020179D"/>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70AD47"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
    <w:name w:val="List Table 5 Dark"/>
    <w:basedOn w:val="a1"/>
    <w:uiPriority w:val="99"/>
    <w:rsid w:val="0020179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rsid w:val="0020179D"/>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5B9BD5"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5B9BD5"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5B9BD5" w:themeFill="accent1"/>
      </w:tcPr>
    </w:tblStylePr>
    <w:tblStylePr w:type="band2Horz">
      <w:pPr>
        <w:snapToGrid/>
      </w:pPr>
      <w:tblPr/>
      <w:tcPr>
        <w:tcBorders>
          <w:top w:val="single" w:sz="4" w:space="0" w:color="FFFFFF" w:themeColor="light1"/>
          <w:bottom w:val="single" w:sz="4" w:space="0" w:color="FFFFFF" w:themeColor="light1"/>
        </w:tcBorders>
        <w:shd w:val="clear" w:color="FFFFFF" w:fill="5B9BD5"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rsid w:val="0020179D"/>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F4B184"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F4B184"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rsid w:val="0020179D"/>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9C9C9"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9C9C9"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rsid w:val="0020179D"/>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FFD865"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FFD865"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rsid w:val="0020179D"/>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8DA9DB"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8DA9DB"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rsid w:val="0020179D"/>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A9D08E"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A9D08E"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
    <w:name w:val="List Table 6 Colorful"/>
    <w:basedOn w:val="a1"/>
    <w:uiPriority w:val="99"/>
    <w:rsid w:val="0020179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rsid w:val="0020179D"/>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pPr>
        <w:snapToGrid/>
      </w:pPr>
      <w:rPr>
        <w:b/>
        <w:color w:val="245A8D" w:themeColor="accent1" w:themeShade="95"/>
      </w:rPr>
      <w:tblPr/>
      <w:tcPr>
        <w:tcBorders>
          <w:bottom w:val="single" w:sz="4" w:space="0" w:color="5B9BD5" w:themeColor="accent1"/>
        </w:tcBorders>
      </w:tcPr>
    </w:tblStylePr>
    <w:tblStylePr w:type="lastRow">
      <w:pPr>
        <w:snapToGrid/>
      </w:pPr>
      <w:rPr>
        <w:b/>
        <w:color w:val="245A8D" w:themeColor="accent1" w:themeShade="95"/>
      </w:rPr>
      <w:tblPr/>
      <w:tcPr>
        <w:tcBorders>
          <w:top w:val="single" w:sz="4" w:space="0" w:color="5B9BD5" w:themeColor="accent1"/>
        </w:tcBorders>
      </w:tcPr>
    </w:tblStylePr>
    <w:tblStylePr w:type="firstCol">
      <w:pPr>
        <w:snapToGrid/>
      </w:pPr>
      <w:rPr>
        <w:b/>
        <w:color w:val="245A8D" w:themeColor="accent1" w:themeShade="95"/>
      </w:rPr>
    </w:tblStylePr>
    <w:tblStylePr w:type="lastCol">
      <w:pPr>
        <w:snapToGrid/>
      </w:pPr>
      <w:rPr>
        <w:b/>
        <w:color w:val="245A8D" w:themeColor="accent1" w:themeShade="95"/>
      </w:rPr>
    </w:tblStylePr>
    <w:tblStylePr w:type="band1Vert">
      <w:pPr>
        <w:snapToGrid/>
      </w:pPr>
      <w:tblPr/>
      <w:tcPr>
        <w:shd w:val="clear" w:color="FFFFFF" w:fill="D5E5F4" w:themeFill="accent1" w:themeFillTint="40"/>
      </w:tcPr>
    </w:tblStylePr>
    <w:tblStylePr w:type="band2Vert">
      <w:pPr>
        <w:snapToGrid/>
      </w:pPr>
    </w:tblStylePr>
    <w:tblStylePr w:type="band1Horz">
      <w:pPr>
        <w:snapToGrid/>
      </w:pPr>
      <w:rPr>
        <w:rFonts w:ascii="Arial" w:hAnsi="Arial"/>
        <w:color w:val="245A8D" w:themeColor="accent1" w:themeShade="95"/>
        <w:sz w:val="22"/>
      </w:rPr>
      <w:tblPr/>
      <w:tcPr>
        <w:shd w:val="clear" w:color="FFFFFF" w:fill="D5E5F4" w:themeFill="accent1" w:themeFillTint="40"/>
      </w:tcPr>
    </w:tblStylePr>
    <w:tblStylePr w:type="band2Horz">
      <w:pPr>
        <w:snapToGrid/>
      </w:pPr>
      <w:rPr>
        <w:rFonts w:ascii="Arial" w:hAnsi="Arial"/>
        <w:color w:val="245A8D"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rsid w:val="0020179D"/>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pPr>
        <w:snapToGrid/>
      </w:pPr>
      <w:rPr>
        <w:b/>
        <w:color w:val="F4B184" w:themeColor="accent2" w:themeTint="97" w:themeShade="95"/>
      </w:rPr>
      <w:tblPr/>
      <w:tcPr>
        <w:tcBorders>
          <w:bottom w:val="single" w:sz="4" w:space="0" w:color="F4B184" w:themeColor="accent2" w:themeTint="97"/>
        </w:tcBorders>
      </w:tcPr>
    </w:tblStylePr>
    <w:tblStylePr w:type="lastRow">
      <w:pPr>
        <w:snapToGrid/>
      </w:pPr>
      <w:rPr>
        <w:b/>
        <w:color w:val="F4B184" w:themeColor="accent2" w:themeTint="97" w:themeShade="95"/>
      </w:rPr>
      <w:tblPr/>
      <w:tcPr>
        <w:tcBorders>
          <w:top w:val="single" w:sz="4" w:space="0" w:color="F4B184" w:themeColor="accent2" w:themeTint="97"/>
        </w:tcBorders>
      </w:tc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rsid w:val="0020179D"/>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pPr>
        <w:snapToGrid/>
      </w:pPr>
      <w:rPr>
        <w:b/>
        <w:color w:val="C9C9C9" w:themeColor="accent3" w:themeTint="98" w:themeShade="95"/>
      </w:rPr>
      <w:tblPr/>
      <w:tcPr>
        <w:tcBorders>
          <w:bottom w:val="single" w:sz="4" w:space="0" w:color="C9C9C9" w:themeColor="accent3" w:themeTint="98"/>
        </w:tcBorders>
      </w:tcPr>
    </w:tblStylePr>
    <w:tblStylePr w:type="lastRow">
      <w:pPr>
        <w:snapToGrid/>
      </w:pPr>
      <w:rPr>
        <w:b/>
        <w:color w:val="C9C9C9" w:themeColor="accent3" w:themeTint="98" w:themeShade="95"/>
      </w:rPr>
      <w:tblPr/>
      <w:tcPr>
        <w:tcBorders>
          <w:top w:val="single" w:sz="4" w:space="0" w:color="C9C9C9" w:themeColor="accent3" w:themeTint="98"/>
        </w:tcBorders>
      </w:tcPr>
    </w:tblStylePr>
    <w:tblStylePr w:type="firstCol">
      <w:pPr>
        <w:snapToGrid/>
      </w:pPr>
      <w:rPr>
        <w:b/>
        <w:color w:val="C9C9C9" w:themeColor="accent3" w:themeTint="98" w:themeShade="95"/>
      </w:rPr>
    </w:tblStylePr>
    <w:tblStylePr w:type="lastCol">
      <w:pPr>
        <w:snapToGrid/>
      </w:pPr>
      <w:rPr>
        <w:b/>
        <w:color w:val="C9C9C9" w:themeColor="accent3" w:themeTint="98" w:themeShade="95"/>
      </w:r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FFFFFF"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rsid w:val="0020179D"/>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pPr>
        <w:snapToGrid/>
      </w:pPr>
      <w:rPr>
        <w:b/>
        <w:color w:val="FFD865" w:themeColor="accent4" w:themeTint="9A" w:themeShade="95"/>
      </w:rPr>
      <w:tblPr/>
      <w:tcPr>
        <w:tcBorders>
          <w:bottom w:val="single" w:sz="4" w:space="0" w:color="FFD865" w:themeColor="accent4" w:themeTint="9A"/>
        </w:tcBorders>
      </w:tcPr>
    </w:tblStylePr>
    <w:tblStylePr w:type="lastRow">
      <w:pPr>
        <w:snapToGrid/>
      </w:pPr>
      <w:rPr>
        <w:b/>
        <w:color w:val="FFD865" w:themeColor="accent4" w:themeTint="9A" w:themeShade="95"/>
      </w:rPr>
      <w:tblPr/>
      <w:tcPr>
        <w:tcBorders>
          <w:top w:val="single" w:sz="4" w:space="0" w:color="FFD865" w:themeColor="accent4" w:themeTint="9A"/>
        </w:tcBorders>
      </w:tc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rsid w:val="0020179D"/>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pPr>
        <w:snapToGrid/>
      </w:pPr>
      <w:rPr>
        <w:b/>
        <w:color w:val="8DA9DB" w:themeColor="accent5" w:themeTint="9A" w:themeShade="95"/>
      </w:rPr>
      <w:tblPr/>
      <w:tcPr>
        <w:tcBorders>
          <w:bottom w:val="single" w:sz="4" w:space="0" w:color="8DA9DB" w:themeColor="accent5" w:themeTint="9A"/>
        </w:tcBorders>
      </w:tcPr>
    </w:tblStylePr>
    <w:tblStylePr w:type="lastRow">
      <w:pPr>
        <w:snapToGrid/>
      </w:pPr>
      <w:rPr>
        <w:b/>
        <w:color w:val="8DA9DB" w:themeColor="accent5" w:themeTint="9A" w:themeShade="95"/>
      </w:rPr>
      <w:tblPr/>
      <w:tcPr>
        <w:tcBorders>
          <w:top w:val="single" w:sz="4" w:space="0" w:color="8DA9DB" w:themeColor="accent5" w:themeTint="9A"/>
        </w:tcBorders>
      </w:tcPr>
    </w:tblStylePr>
    <w:tblStylePr w:type="firstCol">
      <w:pPr>
        <w:snapToGrid/>
      </w:pPr>
      <w:rPr>
        <w:b/>
        <w:color w:val="8DA9DB" w:themeColor="accent5" w:themeTint="9A" w:themeShade="95"/>
      </w:rPr>
    </w:tblStylePr>
    <w:tblStylePr w:type="lastCol">
      <w:pPr>
        <w:snapToGrid/>
      </w:pPr>
      <w:rPr>
        <w:b/>
        <w:color w:val="8DA9DB" w:themeColor="accent5" w:themeTint="9A" w:themeShade="95"/>
      </w:rPr>
    </w:tblStylePr>
    <w:tblStylePr w:type="band1Vert">
      <w:pPr>
        <w:snapToGrid/>
      </w:pPr>
      <w:tblPr/>
      <w:tcPr>
        <w:shd w:val="clear" w:color="FFFFFF" w:fill="CFDBF0" w:themeFill="accent5" w:themeFillTint="40"/>
      </w:tcPr>
    </w:tblStylePr>
    <w:tblStylePr w:type="band2Vert">
      <w:pPr>
        <w:snapToGrid/>
      </w:pPr>
    </w:tblStylePr>
    <w:tblStylePr w:type="band1Horz">
      <w:pPr>
        <w:snapToGrid/>
      </w:pPr>
      <w:rPr>
        <w:rFonts w:ascii="Arial" w:hAnsi="Arial"/>
        <w:color w:val="8DA9DB" w:themeColor="accent5" w:themeTint="9A" w:themeShade="95"/>
        <w:sz w:val="22"/>
      </w:rPr>
      <w:tblPr/>
      <w:tcPr>
        <w:shd w:val="clear" w:color="FFFFFF" w:fill="CFDBF0" w:themeFill="accent5" w:themeFillTint="40"/>
      </w:tcPr>
    </w:tblStylePr>
    <w:tblStylePr w:type="band2Horz">
      <w:pPr>
        <w:snapToGrid/>
      </w:pPr>
      <w:rPr>
        <w:rFonts w:ascii="Arial" w:hAnsi="Arial"/>
        <w:color w:val="8DA9DB"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rsid w:val="0020179D"/>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pPr>
        <w:snapToGrid/>
      </w:pPr>
      <w:rPr>
        <w:b/>
        <w:color w:val="A9D08E" w:themeColor="accent6" w:themeTint="98" w:themeShade="95"/>
      </w:rPr>
      <w:tblPr/>
      <w:tcPr>
        <w:tcBorders>
          <w:bottom w:val="single" w:sz="4" w:space="0" w:color="A9D08E" w:themeColor="accent6" w:themeTint="98"/>
        </w:tcBorders>
      </w:tcPr>
    </w:tblStylePr>
    <w:tblStylePr w:type="lastRow">
      <w:pPr>
        <w:snapToGrid/>
      </w:pPr>
      <w:rPr>
        <w:b/>
        <w:color w:val="A9D08E" w:themeColor="accent6" w:themeTint="98" w:themeShade="95"/>
      </w:rPr>
      <w:tblPr/>
      <w:tcPr>
        <w:tcBorders>
          <w:top w:val="single" w:sz="4" w:space="0" w:color="A9D08E" w:themeColor="accent6" w:themeTint="98"/>
        </w:tcBorders>
      </w:tcPr>
    </w:tblStylePr>
    <w:tblStylePr w:type="firstCol">
      <w:pPr>
        <w:snapToGrid/>
      </w:pPr>
      <w:rPr>
        <w:b/>
        <w:color w:val="A9D08E" w:themeColor="accent6" w:themeTint="98" w:themeShade="95"/>
      </w:rPr>
    </w:tblStylePr>
    <w:tblStylePr w:type="lastCol">
      <w:pPr>
        <w:snapToGrid/>
      </w:pPr>
      <w:rPr>
        <w:b/>
        <w:color w:val="A9D08E" w:themeColor="accent6" w:themeTint="98" w:themeShade="95"/>
      </w:r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FFFFFF"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
    <w:name w:val="List Table 7 Colorful"/>
    <w:basedOn w:val="a1"/>
    <w:uiPriority w:val="99"/>
    <w:rsid w:val="0020179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rsid w:val="0020179D"/>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pPr>
        <w:snapToGrid/>
      </w:pPr>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pPr>
        <w:snapToGrid/>
      </w:pPr>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pPr>
        <w:snapToGrid/>
      </w:pPr>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pPr>
        <w:snapToGrid/>
      </w:pPr>
      <w:tblPr/>
      <w:tcPr>
        <w:shd w:val="clear" w:color="FFFFFF" w:fill="D5E5F4" w:themeFill="accent1" w:themeFillTint="40"/>
      </w:tcPr>
    </w:tblStylePr>
    <w:tblStylePr w:type="band2Vert">
      <w:pPr>
        <w:snapToGrid/>
      </w:pPr>
    </w:tblStylePr>
    <w:tblStylePr w:type="band1Horz">
      <w:pPr>
        <w:snapToGrid/>
      </w:pPr>
      <w:rPr>
        <w:rFonts w:ascii="Arial" w:hAnsi="Arial"/>
        <w:color w:val="245A8D" w:themeColor="accent1" w:themeShade="95"/>
        <w:sz w:val="22"/>
      </w:rPr>
      <w:tblPr/>
      <w:tcPr>
        <w:shd w:val="clear" w:color="FFFFFF" w:fill="D5E5F4" w:themeFill="accent1" w:themeFillTint="40"/>
      </w:tcPr>
    </w:tblStylePr>
    <w:tblStylePr w:type="band2Horz">
      <w:pPr>
        <w:snapToGrid/>
      </w:pPr>
      <w:rPr>
        <w:rFonts w:ascii="Arial" w:hAnsi="Arial"/>
        <w:color w:val="245A8D"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rsid w:val="0020179D"/>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pPr>
        <w:snapToGrid/>
      </w:pPr>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pPr>
        <w:snapToGrid/>
      </w:pPr>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pPr>
        <w:snapToGrid/>
      </w:pPr>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rsid w:val="0020179D"/>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pPr>
        <w:snapToGrid/>
      </w:pPr>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pPr>
        <w:snapToGrid/>
      </w:pPr>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pPr>
        <w:snapToGrid/>
      </w:pPr>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FFFFFF"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rsid w:val="0020179D"/>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pPr>
        <w:snapToGrid/>
      </w:pPr>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pPr>
        <w:snapToGrid/>
      </w:pPr>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pPr>
        <w:snapToGrid/>
      </w:pPr>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rsid w:val="0020179D"/>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pPr>
        <w:snapToGrid/>
      </w:pPr>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Fill="light1"/>
      </w:tcPr>
    </w:tblStylePr>
    <w:tblStylePr w:type="lastRow">
      <w:pPr>
        <w:snapToGrid/>
      </w:pPr>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pPr>
        <w:snapToGrid/>
      </w:pPr>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pPr>
        <w:snapToGrid/>
      </w:pPr>
      <w:tblPr/>
      <w:tcPr>
        <w:shd w:val="clear" w:color="FFFFFF" w:fill="CFDBF0" w:themeFill="accent5" w:themeFillTint="40"/>
      </w:tcPr>
    </w:tblStylePr>
    <w:tblStylePr w:type="band2Vert">
      <w:pPr>
        <w:snapToGrid/>
      </w:pPr>
    </w:tblStylePr>
    <w:tblStylePr w:type="band1Horz">
      <w:pPr>
        <w:snapToGrid/>
      </w:pPr>
      <w:rPr>
        <w:rFonts w:ascii="Arial" w:hAnsi="Arial"/>
        <w:color w:val="8DA9DB" w:themeColor="accent5" w:themeTint="9A" w:themeShade="95"/>
        <w:sz w:val="22"/>
      </w:rPr>
      <w:tblPr/>
      <w:tcPr>
        <w:shd w:val="clear" w:color="FFFFFF" w:fill="CFDBF0" w:themeFill="accent5" w:themeFillTint="40"/>
      </w:tcPr>
    </w:tblStylePr>
    <w:tblStylePr w:type="band2Horz">
      <w:pPr>
        <w:snapToGrid/>
      </w:pPr>
      <w:rPr>
        <w:rFonts w:ascii="Arial" w:hAnsi="Arial"/>
        <w:color w:val="8DA9DB"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rsid w:val="0020179D"/>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pPr>
        <w:snapToGrid/>
      </w:pPr>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pPr>
        <w:snapToGrid/>
      </w:pPr>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pPr>
        <w:snapToGrid/>
      </w:pPr>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FFFFFF"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sid w:val="0020179D"/>
    <w:rPr>
      <w:color w:val="40404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sid w:val="0020179D"/>
    <w:rPr>
      <w:color w:val="40404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68A2D8" w:themeFill="accent1" w:themeFillTint="EA"/>
      </w:tcPr>
    </w:tblStylePr>
    <w:tblStylePr w:type="lastRow">
      <w:pPr>
        <w:snapToGrid/>
      </w:pPr>
      <w:rPr>
        <w:rFonts w:ascii="Arial" w:hAnsi="Arial"/>
        <w:color w:val="F2F2F2"/>
        <w:sz w:val="22"/>
      </w:rPr>
      <w:tblPr/>
      <w:tcPr>
        <w:shd w:val="clear" w:color="FFFFFF" w:fill="68A2D8" w:themeFill="accent1" w:themeFillTint="EA"/>
      </w:tcPr>
    </w:tblStylePr>
    <w:tblStylePr w:type="firstCol">
      <w:pPr>
        <w:snapToGrid/>
      </w:pPr>
      <w:rPr>
        <w:rFonts w:ascii="Arial" w:hAnsi="Arial"/>
        <w:color w:val="F2F2F2"/>
        <w:sz w:val="22"/>
      </w:rPr>
      <w:tblPr/>
      <w:tcPr>
        <w:shd w:val="clear" w:color="FFFFFF" w:fill="68A2D8" w:themeFill="accent1" w:themeFillTint="EA"/>
      </w:tcPr>
    </w:tblStylePr>
    <w:tblStylePr w:type="lastCol">
      <w:pPr>
        <w:snapToGrid/>
      </w:pPr>
      <w:rPr>
        <w:rFonts w:ascii="Arial" w:hAnsi="Arial"/>
        <w:color w:val="F2F2F2"/>
        <w:sz w:val="22"/>
      </w:rPr>
      <w:tblPr/>
      <w:tcPr>
        <w:shd w:val="clear" w:color="FFFFFF"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sid w:val="0020179D"/>
    <w:rPr>
      <w:color w:val="40404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F4B184" w:themeFill="accent2" w:themeFillTint="97"/>
      </w:tcPr>
    </w:tblStylePr>
    <w:tblStylePr w:type="lastRow">
      <w:pPr>
        <w:snapToGrid/>
      </w:pPr>
      <w:rPr>
        <w:rFonts w:ascii="Arial" w:hAnsi="Arial"/>
        <w:color w:val="F2F2F2"/>
        <w:sz w:val="22"/>
      </w:rPr>
      <w:tblPr/>
      <w:tcPr>
        <w:shd w:val="clear" w:color="FFFFFF" w:fill="F4B184" w:themeFill="accent2" w:themeFillTint="97"/>
      </w:tcPr>
    </w:tblStylePr>
    <w:tblStylePr w:type="firstCol">
      <w:pPr>
        <w:snapToGrid/>
      </w:pPr>
      <w:rPr>
        <w:rFonts w:ascii="Arial" w:hAnsi="Arial"/>
        <w:color w:val="F2F2F2"/>
        <w:sz w:val="22"/>
      </w:rPr>
      <w:tblPr/>
      <w:tcPr>
        <w:shd w:val="clear" w:color="FFFFFF" w:fill="F4B184" w:themeFill="accent2" w:themeFillTint="97"/>
      </w:tcPr>
    </w:tblStylePr>
    <w:tblStylePr w:type="lastCol">
      <w:pPr>
        <w:snapToGrid/>
      </w:pPr>
      <w:rPr>
        <w:rFonts w:ascii="Arial" w:hAnsi="Arial"/>
        <w:color w:val="F2F2F2"/>
        <w:sz w:val="22"/>
      </w:rPr>
      <w:tblPr/>
      <w:tcPr>
        <w:shd w:val="clear" w:color="FFFFFF"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sid w:val="0020179D"/>
    <w:rPr>
      <w:color w:val="40404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A5A5A5" w:themeFill="accent3" w:themeFillTint="FE"/>
      </w:tcPr>
    </w:tblStylePr>
    <w:tblStylePr w:type="lastRow">
      <w:pPr>
        <w:snapToGrid/>
      </w:pPr>
      <w:rPr>
        <w:rFonts w:ascii="Arial" w:hAnsi="Arial"/>
        <w:color w:val="F2F2F2"/>
        <w:sz w:val="22"/>
      </w:rPr>
      <w:tblPr/>
      <w:tcPr>
        <w:shd w:val="clear" w:color="FFFFFF" w:fill="A5A5A5" w:themeFill="accent3" w:themeFillTint="FE"/>
      </w:tcPr>
    </w:tblStylePr>
    <w:tblStylePr w:type="firstCol">
      <w:pPr>
        <w:snapToGrid/>
      </w:pPr>
      <w:rPr>
        <w:rFonts w:ascii="Arial" w:hAnsi="Arial"/>
        <w:color w:val="F2F2F2"/>
        <w:sz w:val="22"/>
      </w:rPr>
      <w:tblPr/>
      <w:tcPr>
        <w:shd w:val="clear" w:color="FFFFFF" w:fill="A5A5A5" w:themeFill="accent3" w:themeFillTint="FE"/>
      </w:tcPr>
    </w:tblStylePr>
    <w:tblStylePr w:type="lastCol">
      <w:pPr>
        <w:snapToGrid/>
      </w:pPr>
      <w:rPr>
        <w:rFonts w:ascii="Arial" w:hAnsi="Arial"/>
        <w:color w:val="F2F2F2"/>
        <w:sz w:val="22"/>
      </w:rPr>
      <w:tblPr/>
      <w:tcPr>
        <w:shd w:val="clear" w:color="FFFFFF"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sid w:val="0020179D"/>
    <w:rPr>
      <w:color w:val="40404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FFD865" w:themeFill="accent4" w:themeFillTint="9A"/>
      </w:tcPr>
    </w:tblStylePr>
    <w:tblStylePr w:type="lastRow">
      <w:pPr>
        <w:snapToGrid/>
      </w:pPr>
      <w:rPr>
        <w:rFonts w:ascii="Arial" w:hAnsi="Arial"/>
        <w:color w:val="F2F2F2"/>
        <w:sz w:val="22"/>
      </w:rPr>
      <w:tblPr/>
      <w:tcPr>
        <w:shd w:val="clear" w:color="FFFFFF" w:fill="FFD865" w:themeFill="accent4" w:themeFillTint="9A"/>
      </w:tcPr>
    </w:tblStylePr>
    <w:tblStylePr w:type="firstCol">
      <w:pPr>
        <w:snapToGrid/>
      </w:pPr>
      <w:rPr>
        <w:rFonts w:ascii="Arial" w:hAnsi="Arial"/>
        <w:color w:val="F2F2F2"/>
        <w:sz w:val="22"/>
      </w:rPr>
      <w:tblPr/>
      <w:tcPr>
        <w:shd w:val="clear" w:color="FFFFFF" w:fill="FFD865" w:themeFill="accent4" w:themeFillTint="9A"/>
      </w:tcPr>
    </w:tblStylePr>
    <w:tblStylePr w:type="lastCol">
      <w:pPr>
        <w:snapToGrid/>
      </w:pPr>
      <w:rPr>
        <w:rFonts w:ascii="Arial" w:hAnsi="Arial"/>
        <w:color w:val="F2F2F2"/>
        <w:sz w:val="22"/>
      </w:rPr>
      <w:tblPr/>
      <w:tcPr>
        <w:shd w:val="clear" w:color="FFFFFF"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sid w:val="0020179D"/>
    <w:rPr>
      <w:color w:val="40404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4472C4" w:themeFill="accent5"/>
      </w:tcPr>
    </w:tblStylePr>
    <w:tblStylePr w:type="lastRow">
      <w:pPr>
        <w:snapToGrid/>
      </w:pPr>
      <w:rPr>
        <w:rFonts w:ascii="Arial" w:hAnsi="Arial"/>
        <w:color w:val="F2F2F2"/>
        <w:sz w:val="22"/>
      </w:rPr>
      <w:tblPr/>
      <w:tcPr>
        <w:shd w:val="clear" w:color="FFFFFF" w:fill="4472C4" w:themeFill="accent5"/>
      </w:tcPr>
    </w:tblStylePr>
    <w:tblStylePr w:type="firstCol">
      <w:pPr>
        <w:snapToGrid/>
      </w:pPr>
      <w:rPr>
        <w:rFonts w:ascii="Arial" w:hAnsi="Arial"/>
        <w:color w:val="F2F2F2"/>
        <w:sz w:val="22"/>
      </w:rPr>
      <w:tblPr/>
      <w:tcPr>
        <w:shd w:val="clear" w:color="FFFFFF" w:fill="4472C4" w:themeFill="accent5"/>
      </w:tcPr>
    </w:tblStylePr>
    <w:tblStylePr w:type="lastCol">
      <w:pPr>
        <w:snapToGrid/>
      </w:pPr>
      <w:rPr>
        <w:rFonts w:ascii="Arial" w:hAnsi="Arial"/>
        <w:color w:val="F2F2F2"/>
        <w:sz w:val="22"/>
      </w:rPr>
      <w:tblPr/>
      <w:tcPr>
        <w:shd w:val="clear" w:color="FFFFFF"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sid w:val="0020179D"/>
    <w:rPr>
      <w:color w:val="404040"/>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70AD47" w:themeFill="accent6"/>
      </w:tcPr>
    </w:tblStylePr>
    <w:tblStylePr w:type="lastRow">
      <w:pPr>
        <w:snapToGrid/>
      </w:pPr>
      <w:rPr>
        <w:rFonts w:ascii="Arial" w:hAnsi="Arial"/>
        <w:color w:val="F2F2F2"/>
        <w:sz w:val="22"/>
      </w:rPr>
      <w:tblPr/>
      <w:tcPr>
        <w:shd w:val="clear" w:color="FFFFFF" w:fill="70AD47" w:themeFill="accent6"/>
      </w:tcPr>
    </w:tblStylePr>
    <w:tblStylePr w:type="firstCol">
      <w:pPr>
        <w:snapToGrid/>
      </w:pPr>
      <w:rPr>
        <w:rFonts w:ascii="Arial" w:hAnsi="Arial"/>
        <w:color w:val="F2F2F2"/>
        <w:sz w:val="22"/>
      </w:rPr>
      <w:tblPr/>
      <w:tcPr>
        <w:shd w:val="clear" w:color="FFFFFF" w:fill="70AD47" w:themeFill="accent6"/>
      </w:tcPr>
    </w:tblStylePr>
    <w:tblStylePr w:type="lastCol">
      <w:pPr>
        <w:snapToGrid/>
      </w:pPr>
      <w:rPr>
        <w:rFonts w:ascii="Arial" w:hAnsi="Arial"/>
        <w:color w:val="F2F2F2"/>
        <w:sz w:val="22"/>
      </w:rPr>
      <w:tblPr/>
      <w:tcPr>
        <w:shd w:val="clear" w:color="FFFFFF"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sid w:val="0020179D"/>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sid w:val="0020179D"/>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68A2D8" w:themeFill="accent1" w:themeFillTint="EA"/>
      </w:tcPr>
    </w:tblStylePr>
    <w:tblStylePr w:type="lastRow">
      <w:pPr>
        <w:snapToGrid/>
      </w:pPr>
      <w:rPr>
        <w:rFonts w:ascii="Arial" w:hAnsi="Arial"/>
        <w:color w:val="F2F2F2"/>
        <w:sz w:val="22"/>
      </w:rPr>
      <w:tblPr/>
      <w:tcPr>
        <w:shd w:val="clear" w:color="FFFFFF" w:fill="68A2D8" w:themeFill="accent1" w:themeFillTint="EA"/>
      </w:tcPr>
    </w:tblStylePr>
    <w:tblStylePr w:type="firstCol">
      <w:pPr>
        <w:snapToGrid/>
      </w:pPr>
      <w:rPr>
        <w:rFonts w:ascii="Arial" w:hAnsi="Arial"/>
        <w:color w:val="F2F2F2"/>
        <w:sz w:val="22"/>
      </w:rPr>
      <w:tblPr/>
      <w:tcPr>
        <w:shd w:val="clear" w:color="FFFFFF" w:fill="68A2D8" w:themeFill="accent1" w:themeFillTint="EA"/>
      </w:tcPr>
    </w:tblStylePr>
    <w:tblStylePr w:type="lastCol">
      <w:pPr>
        <w:snapToGrid/>
      </w:pPr>
      <w:rPr>
        <w:rFonts w:ascii="Arial" w:hAnsi="Arial"/>
        <w:color w:val="F2F2F2"/>
        <w:sz w:val="22"/>
      </w:rPr>
      <w:tblPr/>
      <w:tcPr>
        <w:shd w:val="clear" w:color="FFFFFF"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sid w:val="0020179D"/>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F4B184" w:themeFill="accent2" w:themeFillTint="97"/>
      </w:tcPr>
    </w:tblStylePr>
    <w:tblStylePr w:type="lastRow">
      <w:pPr>
        <w:snapToGrid/>
      </w:pPr>
      <w:rPr>
        <w:rFonts w:ascii="Arial" w:hAnsi="Arial"/>
        <w:color w:val="F2F2F2"/>
        <w:sz w:val="22"/>
      </w:rPr>
      <w:tblPr/>
      <w:tcPr>
        <w:shd w:val="clear" w:color="FFFFFF" w:fill="F4B184" w:themeFill="accent2" w:themeFillTint="97"/>
      </w:tcPr>
    </w:tblStylePr>
    <w:tblStylePr w:type="firstCol">
      <w:pPr>
        <w:snapToGrid/>
      </w:pPr>
      <w:rPr>
        <w:rFonts w:ascii="Arial" w:hAnsi="Arial"/>
        <w:color w:val="F2F2F2"/>
        <w:sz w:val="22"/>
      </w:rPr>
      <w:tblPr/>
      <w:tcPr>
        <w:shd w:val="clear" w:color="FFFFFF" w:fill="F4B184" w:themeFill="accent2" w:themeFillTint="97"/>
      </w:tcPr>
    </w:tblStylePr>
    <w:tblStylePr w:type="lastCol">
      <w:pPr>
        <w:snapToGrid/>
      </w:pPr>
      <w:rPr>
        <w:rFonts w:ascii="Arial" w:hAnsi="Arial"/>
        <w:color w:val="F2F2F2"/>
        <w:sz w:val="22"/>
      </w:rPr>
      <w:tblPr/>
      <w:tcPr>
        <w:shd w:val="clear" w:color="FFFFFF"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sid w:val="0020179D"/>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A5A5A5" w:themeFill="accent3" w:themeFillTint="FE"/>
      </w:tcPr>
    </w:tblStylePr>
    <w:tblStylePr w:type="lastRow">
      <w:pPr>
        <w:snapToGrid/>
      </w:pPr>
      <w:rPr>
        <w:rFonts w:ascii="Arial" w:hAnsi="Arial"/>
        <w:color w:val="F2F2F2"/>
        <w:sz w:val="22"/>
      </w:rPr>
      <w:tblPr/>
      <w:tcPr>
        <w:shd w:val="clear" w:color="FFFFFF" w:fill="A5A5A5" w:themeFill="accent3" w:themeFillTint="FE"/>
      </w:tcPr>
    </w:tblStylePr>
    <w:tblStylePr w:type="firstCol">
      <w:pPr>
        <w:snapToGrid/>
      </w:pPr>
      <w:rPr>
        <w:rFonts w:ascii="Arial" w:hAnsi="Arial"/>
        <w:color w:val="F2F2F2"/>
        <w:sz w:val="22"/>
      </w:rPr>
      <w:tblPr/>
      <w:tcPr>
        <w:shd w:val="clear" w:color="FFFFFF" w:fill="A5A5A5" w:themeFill="accent3" w:themeFillTint="FE"/>
      </w:tcPr>
    </w:tblStylePr>
    <w:tblStylePr w:type="lastCol">
      <w:pPr>
        <w:snapToGrid/>
      </w:pPr>
      <w:rPr>
        <w:rFonts w:ascii="Arial" w:hAnsi="Arial"/>
        <w:color w:val="F2F2F2"/>
        <w:sz w:val="22"/>
      </w:rPr>
      <w:tblPr/>
      <w:tcPr>
        <w:shd w:val="clear" w:color="FFFFFF"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sid w:val="0020179D"/>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FFD865" w:themeFill="accent4" w:themeFillTint="9A"/>
      </w:tcPr>
    </w:tblStylePr>
    <w:tblStylePr w:type="lastRow">
      <w:pPr>
        <w:snapToGrid/>
      </w:pPr>
      <w:rPr>
        <w:rFonts w:ascii="Arial" w:hAnsi="Arial"/>
        <w:color w:val="F2F2F2"/>
        <w:sz w:val="22"/>
      </w:rPr>
      <w:tblPr/>
      <w:tcPr>
        <w:shd w:val="clear" w:color="FFFFFF" w:fill="FFD865" w:themeFill="accent4" w:themeFillTint="9A"/>
      </w:tcPr>
    </w:tblStylePr>
    <w:tblStylePr w:type="firstCol">
      <w:pPr>
        <w:snapToGrid/>
      </w:pPr>
      <w:rPr>
        <w:rFonts w:ascii="Arial" w:hAnsi="Arial"/>
        <w:color w:val="F2F2F2"/>
        <w:sz w:val="22"/>
      </w:rPr>
      <w:tblPr/>
      <w:tcPr>
        <w:shd w:val="clear" w:color="FFFFFF" w:fill="FFD865" w:themeFill="accent4" w:themeFillTint="9A"/>
      </w:tcPr>
    </w:tblStylePr>
    <w:tblStylePr w:type="lastCol">
      <w:pPr>
        <w:snapToGrid/>
      </w:pPr>
      <w:rPr>
        <w:rFonts w:ascii="Arial" w:hAnsi="Arial"/>
        <w:color w:val="F2F2F2"/>
        <w:sz w:val="22"/>
      </w:rPr>
      <w:tblPr/>
      <w:tcPr>
        <w:shd w:val="clear" w:color="FFFFFF"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sid w:val="0020179D"/>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4472C4" w:themeFill="accent5"/>
      </w:tcPr>
    </w:tblStylePr>
    <w:tblStylePr w:type="lastRow">
      <w:pPr>
        <w:snapToGrid/>
      </w:pPr>
      <w:rPr>
        <w:rFonts w:ascii="Arial" w:hAnsi="Arial"/>
        <w:color w:val="F2F2F2"/>
        <w:sz w:val="22"/>
      </w:rPr>
      <w:tblPr/>
      <w:tcPr>
        <w:shd w:val="clear" w:color="FFFFFF" w:fill="4472C4" w:themeFill="accent5"/>
      </w:tcPr>
    </w:tblStylePr>
    <w:tblStylePr w:type="firstCol">
      <w:pPr>
        <w:snapToGrid/>
      </w:pPr>
      <w:rPr>
        <w:rFonts w:ascii="Arial" w:hAnsi="Arial"/>
        <w:color w:val="F2F2F2"/>
        <w:sz w:val="22"/>
      </w:rPr>
      <w:tblPr/>
      <w:tcPr>
        <w:shd w:val="clear" w:color="FFFFFF" w:fill="4472C4" w:themeFill="accent5"/>
      </w:tcPr>
    </w:tblStylePr>
    <w:tblStylePr w:type="lastCol">
      <w:pPr>
        <w:snapToGrid/>
      </w:pPr>
      <w:rPr>
        <w:rFonts w:ascii="Arial" w:hAnsi="Arial"/>
        <w:color w:val="F2F2F2"/>
        <w:sz w:val="22"/>
      </w:rPr>
      <w:tblPr/>
      <w:tcPr>
        <w:shd w:val="clear" w:color="FFFFFF"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sid w:val="0020179D"/>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70AD47" w:themeFill="accent6"/>
      </w:tcPr>
    </w:tblStylePr>
    <w:tblStylePr w:type="lastRow">
      <w:pPr>
        <w:snapToGrid/>
      </w:pPr>
      <w:rPr>
        <w:rFonts w:ascii="Arial" w:hAnsi="Arial"/>
        <w:color w:val="F2F2F2"/>
        <w:sz w:val="22"/>
      </w:rPr>
      <w:tblPr/>
      <w:tcPr>
        <w:shd w:val="clear" w:color="FFFFFF" w:fill="70AD47" w:themeFill="accent6"/>
      </w:tcPr>
    </w:tblStylePr>
    <w:tblStylePr w:type="firstCol">
      <w:pPr>
        <w:snapToGrid/>
      </w:pPr>
      <w:rPr>
        <w:rFonts w:ascii="Arial" w:hAnsi="Arial"/>
        <w:color w:val="F2F2F2"/>
        <w:sz w:val="22"/>
      </w:rPr>
      <w:tblPr/>
      <w:tcPr>
        <w:shd w:val="clear" w:color="FFFFFF" w:fill="70AD47" w:themeFill="accent6"/>
      </w:tcPr>
    </w:tblStylePr>
    <w:tblStylePr w:type="lastCol">
      <w:pPr>
        <w:snapToGrid/>
      </w:pPr>
      <w:rPr>
        <w:rFonts w:ascii="Arial" w:hAnsi="Arial"/>
        <w:color w:val="F2F2F2"/>
        <w:sz w:val="22"/>
      </w:rPr>
      <w:tblPr/>
      <w:tcPr>
        <w:shd w:val="clear" w:color="FFFFFF"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rsid w:val="0020179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rsid w:val="0020179D"/>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5B9BD5" w:themeColor="accent1"/>
        </w:tcBorders>
      </w:tcPr>
    </w:tblStylePr>
    <w:tblStylePr w:type="lastRow">
      <w:pPr>
        <w:snapToGrid/>
      </w:pPr>
      <w:rPr>
        <w:rFonts w:ascii="Arial" w:hAnsi="Arial"/>
        <w:color w:val="404040"/>
        <w:sz w:val="22"/>
      </w:rPr>
      <w:tblPr/>
      <w:tcPr>
        <w:tcBorders>
          <w:top w:val="single" w:sz="12" w:space="0" w:color="5B9BD5"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5B9BD5"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rsid w:val="0020179D"/>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F4B184" w:themeColor="accent2" w:themeTint="97"/>
        </w:tcBorders>
      </w:tcPr>
    </w:tblStylePr>
    <w:tblStylePr w:type="lastRow">
      <w:pPr>
        <w:snapToGrid/>
      </w:pPr>
      <w:rPr>
        <w:rFonts w:ascii="Arial" w:hAnsi="Arial"/>
        <w:color w:val="404040"/>
        <w:sz w:val="22"/>
      </w:rPr>
      <w:tblPr/>
      <w:tcPr>
        <w:tcBorders>
          <w:top w:val="single" w:sz="12" w:space="0" w:color="F4B184"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4B184"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rsid w:val="0020179D"/>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C9C9C9" w:themeColor="accent3" w:themeTint="98"/>
        </w:tcBorders>
      </w:tcPr>
    </w:tblStylePr>
    <w:tblStylePr w:type="lastRow">
      <w:pPr>
        <w:snapToGrid/>
      </w:pPr>
      <w:rPr>
        <w:rFonts w:ascii="Arial" w:hAnsi="Arial"/>
        <w:color w:val="404040"/>
        <w:sz w:val="22"/>
      </w:rPr>
      <w:tblPr/>
      <w:tcPr>
        <w:tcBorders>
          <w:top w:val="single" w:sz="12" w:space="0" w:color="C9C9C9"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9C9C9"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rsid w:val="0020179D"/>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FFD865" w:themeColor="accent4" w:themeTint="9A"/>
        </w:tcBorders>
      </w:tcPr>
    </w:tblStylePr>
    <w:tblStylePr w:type="lastRow">
      <w:pPr>
        <w:snapToGrid/>
      </w:pPr>
      <w:rPr>
        <w:rFonts w:ascii="Arial" w:hAnsi="Arial"/>
        <w:color w:val="404040"/>
        <w:sz w:val="22"/>
      </w:rPr>
      <w:tblPr/>
      <w:tcPr>
        <w:tcBorders>
          <w:top w:val="single" w:sz="12" w:space="0" w:color="FFD865"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FD865"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rsid w:val="0020179D"/>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8DA9DB" w:themeColor="accent5" w:themeTint="9A"/>
        </w:tcBorders>
      </w:tcPr>
    </w:tblStylePr>
    <w:tblStylePr w:type="lastRow">
      <w:pPr>
        <w:snapToGrid/>
      </w:pPr>
      <w:rPr>
        <w:rFonts w:ascii="Arial" w:hAnsi="Arial"/>
        <w:color w:val="404040"/>
        <w:sz w:val="22"/>
      </w:rPr>
      <w:tblPr/>
      <w:tcPr>
        <w:tcBorders>
          <w:top w:val="single" w:sz="12" w:space="0" w:color="8DA9DB"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8DA9DB"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rsid w:val="0020179D"/>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A9D08E" w:themeColor="accent6" w:themeTint="98"/>
        </w:tcBorders>
      </w:tcPr>
    </w:tblStylePr>
    <w:tblStylePr w:type="lastRow">
      <w:pPr>
        <w:snapToGrid/>
      </w:pPr>
      <w:rPr>
        <w:rFonts w:ascii="Arial" w:hAnsi="Arial"/>
        <w:color w:val="404040"/>
        <w:sz w:val="22"/>
      </w:rPr>
      <w:tblPr/>
      <w:tcPr>
        <w:tcBorders>
          <w:top w:val="single" w:sz="12" w:space="0" w:color="A9D08E"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A9D08E"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9">
    <w:name w:val="Hyperlink"/>
    <w:uiPriority w:val="99"/>
    <w:unhideWhenUsed/>
    <w:rsid w:val="0020179D"/>
    <w:rPr>
      <w:color w:val="0563C1" w:themeColor="hyperlink"/>
      <w:u w:val="single"/>
    </w:rPr>
  </w:style>
  <w:style w:type="paragraph" w:styleId="aa">
    <w:name w:val="footnote text"/>
    <w:basedOn w:val="a"/>
    <w:link w:val="Char2"/>
    <w:uiPriority w:val="99"/>
    <w:semiHidden/>
    <w:unhideWhenUsed/>
    <w:rsid w:val="0020179D"/>
    <w:pPr>
      <w:spacing w:after="40"/>
    </w:pPr>
    <w:rPr>
      <w:sz w:val="18"/>
    </w:rPr>
  </w:style>
  <w:style w:type="character" w:customStyle="1" w:styleId="Char2">
    <w:name w:val="脚注文本 Char"/>
    <w:link w:val="aa"/>
    <w:uiPriority w:val="99"/>
    <w:rsid w:val="0020179D"/>
    <w:rPr>
      <w:sz w:val="18"/>
    </w:rPr>
  </w:style>
  <w:style w:type="character" w:styleId="ab">
    <w:name w:val="footnote reference"/>
    <w:basedOn w:val="a0"/>
    <w:uiPriority w:val="99"/>
    <w:unhideWhenUsed/>
    <w:rsid w:val="0020179D"/>
    <w:rPr>
      <w:vertAlign w:val="superscript"/>
    </w:rPr>
  </w:style>
  <w:style w:type="paragraph" w:styleId="ac">
    <w:name w:val="endnote text"/>
    <w:basedOn w:val="a"/>
    <w:link w:val="Char3"/>
    <w:uiPriority w:val="99"/>
    <w:semiHidden/>
    <w:unhideWhenUsed/>
    <w:rsid w:val="0020179D"/>
    <w:rPr>
      <w:sz w:val="20"/>
    </w:rPr>
  </w:style>
  <w:style w:type="character" w:customStyle="1" w:styleId="Char3">
    <w:name w:val="尾注文本 Char"/>
    <w:link w:val="ac"/>
    <w:uiPriority w:val="99"/>
    <w:rsid w:val="0020179D"/>
    <w:rPr>
      <w:sz w:val="20"/>
    </w:rPr>
  </w:style>
  <w:style w:type="character" w:styleId="ad">
    <w:name w:val="endnote reference"/>
    <w:basedOn w:val="a0"/>
    <w:uiPriority w:val="99"/>
    <w:semiHidden/>
    <w:unhideWhenUsed/>
    <w:rsid w:val="0020179D"/>
    <w:rPr>
      <w:vertAlign w:val="superscript"/>
    </w:rPr>
  </w:style>
  <w:style w:type="paragraph" w:styleId="1">
    <w:name w:val="toc 1"/>
    <w:basedOn w:val="a"/>
    <w:next w:val="a"/>
    <w:uiPriority w:val="39"/>
    <w:unhideWhenUsed/>
    <w:rsid w:val="0020179D"/>
    <w:pPr>
      <w:spacing w:after="57"/>
    </w:pPr>
  </w:style>
  <w:style w:type="paragraph" w:styleId="2">
    <w:name w:val="toc 2"/>
    <w:basedOn w:val="a"/>
    <w:next w:val="a"/>
    <w:uiPriority w:val="39"/>
    <w:unhideWhenUsed/>
    <w:rsid w:val="0020179D"/>
    <w:pPr>
      <w:spacing w:after="57"/>
      <w:ind w:left="283"/>
    </w:pPr>
  </w:style>
  <w:style w:type="paragraph" w:styleId="3">
    <w:name w:val="toc 3"/>
    <w:basedOn w:val="a"/>
    <w:next w:val="a"/>
    <w:uiPriority w:val="39"/>
    <w:unhideWhenUsed/>
    <w:rsid w:val="0020179D"/>
    <w:pPr>
      <w:spacing w:after="57"/>
      <w:ind w:left="567"/>
    </w:pPr>
  </w:style>
  <w:style w:type="paragraph" w:styleId="4">
    <w:name w:val="toc 4"/>
    <w:basedOn w:val="a"/>
    <w:next w:val="a"/>
    <w:uiPriority w:val="39"/>
    <w:unhideWhenUsed/>
    <w:rsid w:val="0020179D"/>
    <w:pPr>
      <w:spacing w:after="57"/>
      <w:ind w:left="850"/>
    </w:pPr>
  </w:style>
  <w:style w:type="paragraph" w:styleId="5">
    <w:name w:val="toc 5"/>
    <w:basedOn w:val="a"/>
    <w:next w:val="a"/>
    <w:uiPriority w:val="39"/>
    <w:unhideWhenUsed/>
    <w:rsid w:val="0020179D"/>
    <w:pPr>
      <w:spacing w:after="57"/>
      <w:ind w:left="1134"/>
    </w:pPr>
  </w:style>
  <w:style w:type="paragraph" w:styleId="6">
    <w:name w:val="toc 6"/>
    <w:basedOn w:val="a"/>
    <w:next w:val="a"/>
    <w:uiPriority w:val="39"/>
    <w:unhideWhenUsed/>
    <w:rsid w:val="0020179D"/>
    <w:pPr>
      <w:spacing w:after="57"/>
      <w:ind w:left="1417"/>
    </w:pPr>
  </w:style>
  <w:style w:type="paragraph" w:styleId="7">
    <w:name w:val="toc 7"/>
    <w:basedOn w:val="a"/>
    <w:next w:val="a"/>
    <w:uiPriority w:val="39"/>
    <w:unhideWhenUsed/>
    <w:rsid w:val="0020179D"/>
    <w:pPr>
      <w:spacing w:after="57"/>
      <w:ind w:left="1701"/>
    </w:pPr>
  </w:style>
  <w:style w:type="paragraph" w:styleId="8">
    <w:name w:val="toc 8"/>
    <w:basedOn w:val="a"/>
    <w:next w:val="a"/>
    <w:uiPriority w:val="39"/>
    <w:unhideWhenUsed/>
    <w:rsid w:val="0020179D"/>
    <w:pPr>
      <w:spacing w:after="57"/>
      <w:ind w:left="1984"/>
    </w:pPr>
  </w:style>
  <w:style w:type="paragraph" w:styleId="9">
    <w:name w:val="toc 9"/>
    <w:basedOn w:val="a"/>
    <w:next w:val="a"/>
    <w:uiPriority w:val="39"/>
    <w:unhideWhenUsed/>
    <w:rsid w:val="0020179D"/>
    <w:pPr>
      <w:spacing w:after="57"/>
      <w:ind w:left="2268"/>
    </w:pPr>
  </w:style>
  <w:style w:type="paragraph" w:styleId="TOC">
    <w:name w:val="TOC Heading"/>
    <w:uiPriority w:val="39"/>
    <w:unhideWhenUsed/>
    <w:rsid w:val="0020179D"/>
  </w:style>
  <w:style w:type="paragraph" w:styleId="ae">
    <w:name w:val="table of figures"/>
    <w:basedOn w:val="a"/>
    <w:next w:val="a"/>
    <w:uiPriority w:val="99"/>
    <w:unhideWhenUsed/>
    <w:rsid w:val="0020179D"/>
  </w:style>
  <w:style w:type="paragraph" w:styleId="af">
    <w:name w:val="annotation text"/>
    <w:basedOn w:val="a"/>
    <w:uiPriority w:val="99"/>
    <w:semiHidden/>
    <w:unhideWhenUsed/>
    <w:rsid w:val="0020179D"/>
    <w:pPr>
      <w:jc w:val="left"/>
    </w:pPr>
  </w:style>
  <w:style w:type="paragraph" w:styleId="af0">
    <w:name w:val="Body Text"/>
    <w:basedOn w:val="a"/>
    <w:link w:val="Char4"/>
    <w:uiPriority w:val="99"/>
    <w:unhideWhenUsed/>
    <w:qFormat/>
    <w:rsid w:val="0020179D"/>
    <w:pPr>
      <w:autoSpaceDE w:val="0"/>
      <w:autoSpaceDN w:val="0"/>
      <w:spacing w:before="161"/>
      <w:ind w:left="120"/>
      <w:jc w:val="left"/>
    </w:pPr>
    <w:rPr>
      <w:rFonts w:ascii="宋体" w:cs="宋体"/>
      <w:sz w:val="22"/>
    </w:rPr>
  </w:style>
  <w:style w:type="paragraph" w:customStyle="1" w:styleId="Footer">
    <w:name w:val="Footer"/>
    <w:basedOn w:val="a"/>
    <w:link w:val="af1"/>
    <w:uiPriority w:val="99"/>
    <w:unhideWhenUsed/>
    <w:qFormat/>
    <w:rsid w:val="0020179D"/>
    <w:pPr>
      <w:tabs>
        <w:tab w:val="center" w:pos="4153"/>
        <w:tab w:val="right" w:pos="8306"/>
      </w:tabs>
      <w:snapToGrid w:val="0"/>
      <w:jc w:val="left"/>
    </w:pPr>
    <w:rPr>
      <w:sz w:val="18"/>
      <w:szCs w:val="18"/>
    </w:rPr>
  </w:style>
  <w:style w:type="paragraph" w:customStyle="1" w:styleId="Header">
    <w:name w:val="Header"/>
    <w:basedOn w:val="a"/>
    <w:link w:val="af2"/>
    <w:uiPriority w:val="99"/>
    <w:unhideWhenUsed/>
    <w:rsid w:val="0020179D"/>
    <w:pPr>
      <w:pBdr>
        <w:bottom w:val="single" w:sz="6" w:space="1" w:color="auto"/>
      </w:pBdr>
      <w:tabs>
        <w:tab w:val="center" w:pos="4153"/>
        <w:tab w:val="right" w:pos="8306"/>
      </w:tabs>
      <w:snapToGrid w:val="0"/>
      <w:jc w:val="center"/>
    </w:pPr>
    <w:rPr>
      <w:sz w:val="18"/>
      <w:szCs w:val="18"/>
    </w:rPr>
  </w:style>
  <w:style w:type="paragraph" w:styleId="a4">
    <w:name w:val="Title"/>
    <w:basedOn w:val="a"/>
    <w:next w:val="a"/>
    <w:link w:val="Char5"/>
    <w:uiPriority w:val="10"/>
    <w:qFormat/>
    <w:rsid w:val="0020179D"/>
    <w:pPr>
      <w:autoSpaceDE w:val="0"/>
      <w:autoSpaceDN w:val="0"/>
      <w:spacing w:before="39"/>
      <w:ind w:left="809"/>
      <w:jc w:val="left"/>
    </w:pPr>
    <w:rPr>
      <w:rFonts w:ascii="等线 light" w:cs="Times New Roman"/>
      <w:b/>
      <w:sz w:val="32"/>
      <w:szCs w:val="32"/>
    </w:rPr>
  </w:style>
  <w:style w:type="character" w:customStyle="1" w:styleId="Char4">
    <w:name w:val="正文文本 Char"/>
    <w:basedOn w:val="a0"/>
    <w:link w:val="af0"/>
    <w:uiPriority w:val="99"/>
    <w:unhideWhenUsed/>
    <w:qFormat/>
    <w:rsid w:val="0020179D"/>
    <w:rPr>
      <w:rFonts w:ascii="宋体" w:cs="宋体"/>
      <w:sz w:val="22"/>
    </w:rPr>
  </w:style>
  <w:style w:type="character" w:customStyle="1" w:styleId="Char5">
    <w:name w:val="标题 Char"/>
    <w:basedOn w:val="a0"/>
    <w:link w:val="a4"/>
    <w:uiPriority w:val="10"/>
    <w:unhideWhenUsed/>
    <w:qFormat/>
    <w:rsid w:val="0020179D"/>
    <w:rPr>
      <w:rFonts w:ascii="等线 light" w:cs="Times New Roman"/>
      <w:b/>
      <w:sz w:val="32"/>
      <w:szCs w:val="32"/>
    </w:rPr>
  </w:style>
  <w:style w:type="character" w:customStyle="1" w:styleId="10">
    <w:name w:val="正文文本 字符1"/>
    <w:basedOn w:val="a0"/>
    <w:uiPriority w:val="99"/>
    <w:semiHidden/>
    <w:qFormat/>
    <w:rsid w:val="0020179D"/>
  </w:style>
  <w:style w:type="paragraph" w:styleId="af3">
    <w:name w:val="List Paragraph"/>
    <w:basedOn w:val="a"/>
    <w:uiPriority w:val="1"/>
    <w:qFormat/>
    <w:rsid w:val="0020179D"/>
    <w:pPr>
      <w:autoSpaceDE w:val="0"/>
      <w:autoSpaceDN w:val="0"/>
      <w:spacing w:before="2"/>
      <w:ind w:left="120" w:firstLine="479"/>
      <w:jc w:val="left"/>
    </w:pPr>
    <w:rPr>
      <w:rFonts w:ascii="宋体" w:hAnsi="Times New Roman" w:cs="宋体"/>
      <w:sz w:val="24"/>
      <w:szCs w:val="24"/>
    </w:rPr>
  </w:style>
  <w:style w:type="character" w:customStyle="1" w:styleId="11">
    <w:name w:val="标题 字符1"/>
    <w:basedOn w:val="a0"/>
    <w:uiPriority w:val="10"/>
    <w:qFormat/>
    <w:rsid w:val="0020179D"/>
    <w:rPr>
      <w:rFonts w:ascii="等线 light" w:hAnsi="等线 light" w:cs="等线 light"/>
      <w:b/>
      <w:bCs/>
      <w:sz w:val="32"/>
      <w:szCs w:val="32"/>
    </w:rPr>
  </w:style>
  <w:style w:type="character" w:customStyle="1" w:styleId="af2">
    <w:name w:val="页眉 字符"/>
    <w:basedOn w:val="a0"/>
    <w:link w:val="Header"/>
    <w:uiPriority w:val="99"/>
    <w:qFormat/>
    <w:rsid w:val="0020179D"/>
    <w:rPr>
      <w:sz w:val="18"/>
      <w:szCs w:val="18"/>
    </w:rPr>
  </w:style>
  <w:style w:type="character" w:customStyle="1" w:styleId="af1">
    <w:name w:val="页脚 字符"/>
    <w:basedOn w:val="a0"/>
    <w:link w:val="Footer"/>
    <w:uiPriority w:val="99"/>
    <w:qFormat/>
    <w:rsid w:val="0020179D"/>
    <w:rPr>
      <w:sz w:val="18"/>
      <w:szCs w:val="18"/>
    </w:rPr>
  </w:style>
  <w:style w:type="character" w:styleId="af4">
    <w:name w:val="annotation reference"/>
    <w:basedOn w:val="a0"/>
    <w:uiPriority w:val="99"/>
    <w:semiHidden/>
    <w:unhideWhenUsed/>
    <w:rsid w:val="0020179D"/>
    <w:rPr>
      <w:sz w:val="21"/>
      <w:szCs w:val="21"/>
    </w:rPr>
  </w:style>
  <w:style w:type="paragraph" w:styleId="af5">
    <w:name w:val="Balloon Text"/>
    <w:basedOn w:val="a"/>
    <w:link w:val="Char6"/>
    <w:uiPriority w:val="99"/>
    <w:semiHidden/>
    <w:unhideWhenUsed/>
    <w:rsid w:val="0020179D"/>
    <w:rPr>
      <w:sz w:val="18"/>
      <w:szCs w:val="18"/>
    </w:rPr>
  </w:style>
  <w:style w:type="character" w:customStyle="1" w:styleId="Char6">
    <w:name w:val="批注框文本 Char"/>
    <w:basedOn w:val="a0"/>
    <w:link w:val="af5"/>
    <w:uiPriority w:val="99"/>
    <w:semiHidden/>
    <w:rsid w:val="0020179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51changxi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2043</Characters>
  <Application>Microsoft Office Word</Application>
  <DocSecurity>4</DocSecurity>
  <Lines>17</Lines>
  <Paragraphs>4</Paragraphs>
  <ScaleCrop>false</ScaleCrop>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刘星洋</dc:creator>
  <cp:lastModifiedBy>ZHONGM</cp:lastModifiedBy>
  <cp:revision>2</cp:revision>
  <dcterms:created xsi:type="dcterms:W3CDTF">2024-05-19T16:01:00Z</dcterms:created>
  <dcterms:modified xsi:type="dcterms:W3CDTF">2024-05-19T16:01:00Z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EF9B5A252B124BF784302C837269F1EE</vt:lpwstr>
  </property>
</Properties>
</file>