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00" w:rsidRPr="007F349C" w:rsidRDefault="00C57295" w:rsidP="00C05C7D">
      <w:pPr>
        <w:spacing w:line="240" w:lineRule="auto"/>
        <w:ind w:firstLineChars="0" w:firstLine="0"/>
        <w:jc w:val="center"/>
        <w:rPr>
          <w:rFonts w:ascii="宋体" w:hAnsi="宋体" w:cs="Times New Roman"/>
          <w:b/>
          <w:sz w:val="32"/>
          <w:szCs w:val="44"/>
        </w:rPr>
      </w:pPr>
      <w:bookmarkStart w:id="0" w:name="_GoBack"/>
      <w:bookmarkEnd w:id="0"/>
      <w:r w:rsidRPr="007F349C">
        <w:rPr>
          <w:rFonts w:ascii="宋体" w:hAnsi="宋体" w:cs="Times New Roman" w:hint="eastAsia"/>
          <w:b/>
          <w:sz w:val="32"/>
          <w:szCs w:val="44"/>
        </w:rPr>
        <w:t>建信中关村产业园封闭式基础设施证券投资基金</w:t>
      </w:r>
    </w:p>
    <w:p w:rsidR="008E4500" w:rsidRPr="007F349C" w:rsidRDefault="00C05C7D">
      <w:pPr>
        <w:widowControl/>
        <w:spacing w:line="240" w:lineRule="auto"/>
        <w:ind w:firstLineChars="0" w:firstLine="0"/>
        <w:jc w:val="center"/>
        <w:rPr>
          <w:rFonts w:ascii="宋体" w:hAnsi="宋体" w:cs="Times New Roman"/>
          <w:b/>
          <w:sz w:val="32"/>
          <w:szCs w:val="44"/>
        </w:rPr>
      </w:pPr>
      <w:r w:rsidRPr="00C05C7D">
        <w:rPr>
          <w:rFonts w:ascii="宋体" w:hAnsi="宋体" w:cs="Times New Roman" w:hint="eastAsia"/>
          <w:b/>
          <w:sz w:val="32"/>
          <w:szCs w:val="44"/>
        </w:rPr>
        <w:t>关于</w:t>
      </w:r>
      <w:r w:rsidR="00067921">
        <w:rPr>
          <w:rFonts w:ascii="宋体" w:hAnsi="宋体" w:cs="Times New Roman" w:hint="eastAsia"/>
          <w:b/>
          <w:sz w:val="32"/>
          <w:szCs w:val="44"/>
        </w:rPr>
        <w:t>《</w:t>
      </w:r>
      <w:r w:rsidR="00067921" w:rsidRPr="002235C8">
        <w:rPr>
          <w:rFonts w:ascii="宋体" w:hAnsi="宋体" w:cs="Times New Roman" w:hint="eastAsia"/>
          <w:b/>
          <w:sz w:val="32"/>
          <w:szCs w:val="44"/>
        </w:rPr>
        <w:t>详式权益变动报告书</w:t>
      </w:r>
      <w:r w:rsidR="00067921">
        <w:rPr>
          <w:rFonts w:ascii="宋体" w:hAnsi="宋体" w:cs="Times New Roman" w:hint="eastAsia"/>
          <w:b/>
          <w:sz w:val="32"/>
          <w:szCs w:val="44"/>
        </w:rPr>
        <w:t>》</w:t>
      </w:r>
      <w:r w:rsidR="00C57295" w:rsidRPr="007F349C">
        <w:rPr>
          <w:rFonts w:ascii="宋体" w:hAnsi="宋体" w:cs="Times New Roman" w:hint="eastAsia"/>
          <w:b/>
          <w:sz w:val="32"/>
          <w:szCs w:val="44"/>
        </w:rPr>
        <w:t>的</w:t>
      </w:r>
      <w:r w:rsidR="002235C8">
        <w:rPr>
          <w:rFonts w:ascii="宋体" w:hAnsi="宋体" w:cs="Times New Roman" w:hint="eastAsia"/>
          <w:b/>
          <w:sz w:val="32"/>
          <w:szCs w:val="44"/>
        </w:rPr>
        <w:t>更正</w:t>
      </w:r>
      <w:r w:rsidR="00C57295" w:rsidRPr="007F349C">
        <w:rPr>
          <w:rFonts w:ascii="宋体" w:hAnsi="宋体" w:cs="Times New Roman" w:hint="eastAsia"/>
          <w:b/>
          <w:sz w:val="32"/>
          <w:szCs w:val="44"/>
        </w:rPr>
        <w:t>公告</w:t>
      </w:r>
    </w:p>
    <w:p w:rsidR="008E4500" w:rsidRPr="00067921" w:rsidRDefault="008E4500" w:rsidP="00F16FCB">
      <w:pPr>
        <w:pStyle w:val="Default"/>
      </w:pPr>
    </w:p>
    <w:p w:rsidR="008E4500" w:rsidRPr="002D5FB3" w:rsidRDefault="00C57295" w:rsidP="002D5FB3">
      <w:pPr>
        <w:ind w:firstLine="482"/>
        <w:rPr>
          <w:rFonts w:ascii="宋体" w:hAnsi="宋体" w:cs="Times New Roman"/>
          <w:b/>
          <w:sz w:val="24"/>
          <w:szCs w:val="24"/>
        </w:rPr>
      </w:pPr>
      <w:r w:rsidRPr="002D5FB3">
        <w:rPr>
          <w:rFonts w:ascii="宋体" w:hAnsi="宋体" w:cs="Times New Roman" w:hint="eastAsia"/>
          <w:b/>
          <w:sz w:val="24"/>
          <w:szCs w:val="24"/>
        </w:rPr>
        <w:t>一、公募</w:t>
      </w:r>
      <w:r w:rsidRPr="002D5FB3">
        <w:rPr>
          <w:rFonts w:ascii="宋体" w:hAnsi="宋体" w:cs="Times New Roman"/>
          <w:b/>
          <w:sz w:val="24"/>
          <w:szCs w:val="24"/>
        </w:rPr>
        <w:t>REITs基本信息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5387"/>
      </w:tblGrid>
      <w:tr w:rsidR="008E4500">
        <w:trPr>
          <w:trHeight w:val="349"/>
        </w:trPr>
        <w:tc>
          <w:tcPr>
            <w:tcW w:w="2693"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公募REITs名称</w:t>
            </w:r>
          </w:p>
        </w:tc>
        <w:tc>
          <w:tcPr>
            <w:tcW w:w="5387"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建信中关村产业园封闭式基础设施证券投资基金</w:t>
            </w:r>
          </w:p>
        </w:tc>
      </w:tr>
      <w:tr w:rsidR="008E4500">
        <w:trPr>
          <w:trHeight w:val="299"/>
        </w:trPr>
        <w:tc>
          <w:tcPr>
            <w:tcW w:w="2693"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公募REITs简称</w:t>
            </w:r>
          </w:p>
        </w:tc>
        <w:tc>
          <w:tcPr>
            <w:tcW w:w="5387"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建信中关村REIT</w:t>
            </w:r>
          </w:p>
        </w:tc>
      </w:tr>
      <w:tr w:rsidR="008E4500">
        <w:trPr>
          <w:trHeight w:val="391"/>
        </w:trPr>
        <w:tc>
          <w:tcPr>
            <w:tcW w:w="2693"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公募REITs代码</w:t>
            </w:r>
          </w:p>
        </w:tc>
        <w:tc>
          <w:tcPr>
            <w:tcW w:w="5387"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508099</w:t>
            </w:r>
          </w:p>
        </w:tc>
      </w:tr>
      <w:tr w:rsidR="008E4500">
        <w:trPr>
          <w:trHeight w:val="391"/>
        </w:trPr>
        <w:tc>
          <w:tcPr>
            <w:tcW w:w="2693"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公募REITs合同生效日</w:t>
            </w:r>
          </w:p>
        </w:tc>
        <w:tc>
          <w:tcPr>
            <w:tcW w:w="5387"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2021年12月3日</w:t>
            </w:r>
          </w:p>
        </w:tc>
      </w:tr>
      <w:tr w:rsidR="008E4500">
        <w:tc>
          <w:tcPr>
            <w:tcW w:w="2693"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基金管理人名称</w:t>
            </w:r>
          </w:p>
        </w:tc>
        <w:tc>
          <w:tcPr>
            <w:tcW w:w="5387"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建信基金管理有限责任公司</w:t>
            </w:r>
          </w:p>
        </w:tc>
      </w:tr>
      <w:tr w:rsidR="008E4500">
        <w:trPr>
          <w:trHeight w:val="418"/>
        </w:trPr>
        <w:tc>
          <w:tcPr>
            <w:tcW w:w="2693"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基金托管人名称</w:t>
            </w:r>
          </w:p>
        </w:tc>
        <w:tc>
          <w:tcPr>
            <w:tcW w:w="5387"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交通银行股份有限公司</w:t>
            </w:r>
          </w:p>
        </w:tc>
      </w:tr>
      <w:tr w:rsidR="008E4500">
        <w:trPr>
          <w:trHeight w:val="300"/>
        </w:trPr>
        <w:tc>
          <w:tcPr>
            <w:tcW w:w="2693"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公告依据</w:t>
            </w:r>
          </w:p>
        </w:tc>
        <w:tc>
          <w:tcPr>
            <w:tcW w:w="5387" w:type="dxa"/>
            <w:vAlign w:val="center"/>
          </w:tcPr>
          <w:p w:rsidR="008E4500" w:rsidRDefault="00C57295">
            <w:pPr>
              <w:snapToGrid w:val="0"/>
              <w:spacing w:line="240" w:lineRule="auto"/>
              <w:ind w:firstLineChars="0" w:firstLine="0"/>
              <w:rPr>
                <w:rFonts w:ascii="宋体" w:hAnsi="宋体" w:cs="Times New Roman"/>
              </w:rPr>
            </w:pPr>
            <w:r>
              <w:rPr>
                <w:rFonts w:ascii="宋体" w:hAnsi="宋体" w:cs="Times New Roman" w:hint="eastAsia"/>
              </w:rPr>
              <w:t>《中华人民共和国证券投资基金法》及配套法规、《公开募集基础设施证券投资基金指引（试行）》、《上海证券交易所公开募集基础设施证券投资基金（REITs）业务办法（试行）》、《上海证券交易所公开募集基础设施证券投资基金（REITs）规则适用指引第5号——临时报告（试行）》等有关规定以及《建信中关村产业园封闭式基础设施证券投资基金基金合同》、《建信中关村产业园封闭式基础设施证券投资基金招募说明书》及其更新</w:t>
            </w:r>
          </w:p>
        </w:tc>
      </w:tr>
    </w:tbl>
    <w:p w:rsidR="008E4500" w:rsidRDefault="008E4500" w:rsidP="00F16FCB">
      <w:pPr>
        <w:pStyle w:val="Default"/>
      </w:pPr>
    </w:p>
    <w:p w:rsidR="008E4500" w:rsidRPr="002235C8" w:rsidRDefault="00C57295" w:rsidP="00F16FCB">
      <w:pPr>
        <w:pStyle w:val="Default"/>
      </w:pPr>
      <w:r w:rsidRPr="00F16FCB">
        <w:rPr>
          <w:rFonts w:hint="eastAsia"/>
        </w:rPr>
        <w:t>二、</w:t>
      </w:r>
      <w:r w:rsidR="002235C8" w:rsidRPr="002235C8">
        <w:rPr>
          <w:rFonts w:hint="eastAsia"/>
        </w:rPr>
        <w:t>关于</w:t>
      </w:r>
      <w:r w:rsidR="00067921">
        <w:rPr>
          <w:rFonts w:hint="eastAsia"/>
        </w:rPr>
        <w:t>《</w:t>
      </w:r>
      <w:r w:rsidR="00067921" w:rsidRPr="002235C8">
        <w:rPr>
          <w:rFonts w:hint="eastAsia"/>
        </w:rPr>
        <w:t>详式权益变动报告书</w:t>
      </w:r>
      <w:r w:rsidR="00067921">
        <w:rPr>
          <w:rFonts w:hint="eastAsia"/>
        </w:rPr>
        <w:t>》</w:t>
      </w:r>
      <w:r w:rsidR="002235C8" w:rsidRPr="002235C8">
        <w:rPr>
          <w:rFonts w:hint="eastAsia"/>
        </w:rPr>
        <w:t>的更正公告</w:t>
      </w:r>
    </w:p>
    <w:p w:rsidR="002235C8" w:rsidRDefault="00C60DA3" w:rsidP="00F16FCB">
      <w:pPr>
        <w:pStyle w:val="Default"/>
        <w:rPr>
          <w:b w:val="0"/>
          <w:bCs w:val="0"/>
        </w:rPr>
      </w:pPr>
      <w:r>
        <w:rPr>
          <w:rFonts w:hint="eastAsia"/>
          <w:b w:val="0"/>
          <w:bCs w:val="0"/>
        </w:rPr>
        <w:t>2024年5月11日，</w:t>
      </w:r>
      <w:r w:rsidRPr="0009095E">
        <w:rPr>
          <w:rFonts w:hint="eastAsia"/>
          <w:b w:val="0"/>
          <w:bCs w:val="0"/>
        </w:rPr>
        <w:t>原始权益人控股股东中关村发展集团股份有限公司（以下简称“</w:t>
      </w:r>
      <w:r w:rsidRPr="002235C8">
        <w:rPr>
          <w:rFonts w:hint="eastAsia"/>
          <w:b w:val="0"/>
          <w:bCs w:val="0"/>
        </w:rPr>
        <w:t>信息披露义务人</w:t>
      </w:r>
      <w:r w:rsidRPr="0009095E">
        <w:rPr>
          <w:rFonts w:hint="eastAsia"/>
          <w:b w:val="0"/>
          <w:bCs w:val="0"/>
        </w:rPr>
        <w:t>”）和原始权益人北京中关村软件园发展有限责任公司（以下简称“</w:t>
      </w:r>
      <w:r>
        <w:rPr>
          <w:rFonts w:hint="eastAsia"/>
          <w:b w:val="0"/>
          <w:bCs w:val="0"/>
        </w:rPr>
        <w:t>一致行动人</w:t>
      </w:r>
      <w:r w:rsidRPr="0009095E">
        <w:rPr>
          <w:rFonts w:hint="eastAsia"/>
          <w:b w:val="0"/>
          <w:bCs w:val="0"/>
        </w:rPr>
        <w:t>”）</w:t>
      </w:r>
      <w:r>
        <w:rPr>
          <w:rFonts w:hint="eastAsia"/>
          <w:b w:val="0"/>
          <w:bCs w:val="0"/>
        </w:rPr>
        <w:t>，通过本基金管理人在</w:t>
      </w:r>
      <w:r w:rsidR="00067921">
        <w:rPr>
          <w:rFonts w:hint="eastAsia"/>
          <w:b w:val="0"/>
          <w:bCs w:val="0"/>
        </w:rPr>
        <w:t>规定的信息披露渠道上披露</w:t>
      </w:r>
      <w:r w:rsidR="007A7640">
        <w:rPr>
          <w:rFonts w:hint="eastAsia"/>
          <w:b w:val="0"/>
          <w:bCs w:val="0"/>
        </w:rPr>
        <w:t>了</w:t>
      </w:r>
      <w:r>
        <w:rPr>
          <w:rFonts w:hint="eastAsia"/>
          <w:b w:val="0"/>
          <w:bCs w:val="0"/>
        </w:rPr>
        <w:t>《</w:t>
      </w:r>
      <w:r w:rsidRPr="002235C8">
        <w:rPr>
          <w:rFonts w:hint="eastAsia"/>
          <w:b w:val="0"/>
          <w:bCs w:val="0"/>
        </w:rPr>
        <w:t>详式权益变动报告书</w:t>
      </w:r>
      <w:r>
        <w:rPr>
          <w:rFonts w:hint="eastAsia"/>
          <w:b w:val="0"/>
          <w:bCs w:val="0"/>
        </w:rPr>
        <w:t>》。经核查，</w:t>
      </w:r>
      <w:r w:rsidRPr="002235C8">
        <w:rPr>
          <w:rFonts w:hint="eastAsia"/>
          <w:b w:val="0"/>
          <w:bCs w:val="0"/>
        </w:rPr>
        <w:t>信息披露义务人</w:t>
      </w:r>
      <w:r>
        <w:rPr>
          <w:rFonts w:hint="eastAsia"/>
          <w:b w:val="0"/>
          <w:bCs w:val="0"/>
        </w:rPr>
        <w:t>及其一致行动人</w:t>
      </w:r>
      <w:r w:rsidRPr="002235C8">
        <w:rPr>
          <w:rFonts w:hint="eastAsia"/>
          <w:b w:val="0"/>
          <w:bCs w:val="0"/>
        </w:rPr>
        <w:t>在本次《详式权益变动报告书》</w:t>
      </w:r>
      <w:r>
        <w:rPr>
          <w:rFonts w:hint="eastAsia"/>
          <w:b w:val="0"/>
          <w:bCs w:val="0"/>
        </w:rPr>
        <w:t>第八节</w:t>
      </w:r>
      <w:r w:rsidRPr="002235C8">
        <w:rPr>
          <w:rFonts w:hint="eastAsia"/>
          <w:b w:val="0"/>
          <w:bCs w:val="0"/>
        </w:rPr>
        <w:t>披露</w:t>
      </w:r>
      <w:r>
        <w:rPr>
          <w:rFonts w:hint="eastAsia"/>
          <w:b w:val="0"/>
          <w:bCs w:val="0"/>
        </w:rPr>
        <w:t>的“</w:t>
      </w:r>
      <w:r w:rsidRPr="002235C8">
        <w:rPr>
          <w:rFonts w:hint="eastAsia"/>
          <w:b w:val="0"/>
          <w:bCs w:val="0"/>
        </w:rPr>
        <w:t>前6个月内</w:t>
      </w:r>
      <w:r>
        <w:rPr>
          <w:rFonts w:hint="eastAsia"/>
          <w:b w:val="0"/>
          <w:bCs w:val="0"/>
        </w:rPr>
        <w:t>通过证券交易所的交易买卖本基金的情况”存在信息错误，原披露内容需要予以更正，具体如下</w:t>
      </w:r>
      <w:r w:rsidR="002235C8">
        <w:rPr>
          <w:rFonts w:hint="eastAsia"/>
          <w:b w:val="0"/>
          <w:bCs w:val="0"/>
        </w:rPr>
        <w:t>：</w:t>
      </w:r>
    </w:p>
    <w:p w:rsidR="002235C8" w:rsidRPr="002235C8" w:rsidRDefault="002235C8" w:rsidP="00F16FCB">
      <w:pPr>
        <w:pStyle w:val="Default"/>
      </w:pPr>
      <w:r w:rsidRPr="002235C8">
        <w:rPr>
          <w:rFonts w:hint="eastAsia"/>
        </w:rPr>
        <w:t>更正前：</w:t>
      </w:r>
    </w:p>
    <w:p w:rsidR="002235C8" w:rsidRPr="002235C8" w:rsidRDefault="002235C8" w:rsidP="00F16FCB">
      <w:pPr>
        <w:pStyle w:val="Default"/>
        <w:rPr>
          <w:b w:val="0"/>
          <w:bCs w:val="0"/>
        </w:rPr>
      </w:pPr>
      <w:r w:rsidRPr="002235C8">
        <w:rPr>
          <w:rFonts w:hint="eastAsia"/>
          <w:b w:val="0"/>
          <w:bCs w:val="0"/>
        </w:rPr>
        <w:t>截至本报告书签署日前六个月内，信息披露义务人及其一致行动人通过上海证券交易所的竞价交易方式买卖本基金，具体情况如下：</w:t>
      </w:r>
    </w:p>
    <w:tbl>
      <w:tblPr>
        <w:tblStyle w:val="TableNormal"/>
        <w:tblW w:w="5018" w:type="pct"/>
        <w:tblInd w:w="0" w:type="dxa"/>
        <w:tblLook w:val="04A0"/>
      </w:tblPr>
      <w:tblGrid>
        <w:gridCol w:w="1763"/>
        <w:gridCol w:w="1966"/>
        <w:gridCol w:w="2375"/>
        <w:gridCol w:w="2248"/>
      </w:tblGrid>
      <w:tr w:rsidR="002235C8" w:rsidRPr="002235C8" w:rsidTr="009F6201">
        <w:trPr>
          <w:trHeight w:hRule="exact" w:val="624"/>
        </w:trPr>
        <w:tc>
          <w:tcPr>
            <w:tcW w:w="1055"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143"/>
              <w:jc w:val="center"/>
              <w:rPr>
                <w:rFonts w:asciiTheme="minorEastAsia" w:eastAsiaTheme="minorEastAsia" w:hAnsiTheme="minorEastAsia" w:cs="微软雅黑"/>
                <w:b/>
                <w:bCs/>
                <w:color w:val="auto"/>
              </w:rPr>
            </w:pPr>
            <w:r w:rsidRPr="009F6201">
              <w:rPr>
                <w:rFonts w:asciiTheme="minorEastAsia" w:eastAsiaTheme="minorEastAsia" w:hAnsiTheme="minorEastAsia" w:cs="微软雅黑" w:hint="eastAsia"/>
                <w:b/>
                <w:bCs/>
                <w:color w:val="auto"/>
                <w:lang w:eastAsia="zh-CN"/>
              </w:rPr>
              <w:t>日期</w:t>
            </w:r>
          </w:p>
        </w:tc>
        <w:tc>
          <w:tcPr>
            <w:tcW w:w="1177"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color w:val="auto"/>
              </w:rPr>
            </w:pPr>
            <w:r w:rsidRPr="009F6201">
              <w:rPr>
                <w:rFonts w:asciiTheme="minorEastAsia" w:eastAsiaTheme="minorEastAsia" w:hAnsiTheme="minorEastAsia" w:cs="微软雅黑" w:hint="eastAsia"/>
                <w:b/>
                <w:bCs/>
                <w:color w:val="auto"/>
                <w:spacing w:val="-4"/>
                <w:lang w:eastAsia="zh-CN"/>
              </w:rPr>
              <w:t>买卖方向</w:t>
            </w:r>
          </w:p>
        </w:tc>
        <w:tc>
          <w:tcPr>
            <w:tcW w:w="1422"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
                <w:bCs/>
                <w:color w:val="auto"/>
                <w:spacing w:val="-4"/>
                <w:lang w:eastAsia="zh-CN"/>
              </w:rPr>
            </w:pPr>
            <w:r w:rsidRPr="009F6201">
              <w:rPr>
                <w:rFonts w:asciiTheme="minorEastAsia" w:eastAsiaTheme="minorEastAsia" w:hAnsiTheme="minorEastAsia" w:cs="微软雅黑" w:hint="eastAsia"/>
                <w:b/>
                <w:bCs/>
                <w:color w:val="auto"/>
                <w:spacing w:val="-4"/>
                <w:lang w:eastAsia="zh-CN"/>
              </w:rPr>
              <w:t>价格区间（元/份）</w:t>
            </w:r>
          </w:p>
        </w:tc>
        <w:tc>
          <w:tcPr>
            <w:tcW w:w="1346"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
                <w:bCs/>
                <w:color w:val="auto"/>
                <w:spacing w:val="-4"/>
                <w:lang w:eastAsia="zh-CN"/>
              </w:rPr>
            </w:pPr>
            <w:r w:rsidRPr="009F6201">
              <w:rPr>
                <w:rFonts w:asciiTheme="minorEastAsia" w:eastAsiaTheme="minorEastAsia" w:hAnsiTheme="minorEastAsia" w:cs="微软雅黑" w:hint="eastAsia"/>
                <w:b/>
                <w:bCs/>
                <w:color w:val="auto"/>
                <w:spacing w:val="-4"/>
                <w:lang w:eastAsia="zh-CN"/>
              </w:rPr>
              <w:t>成交数量（份）</w:t>
            </w:r>
          </w:p>
        </w:tc>
      </w:tr>
      <w:tr w:rsidR="002235C8" w:rsidRPr="002235C8" w:rsidTr="009F6201">
        <w:trPr>
          <w:trHeight w:hRule="exact" w:val="851"/>
        </w:trPr>
        <w:tc>
          <w:tcPr>
            <w:tcW w:w="1055"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143"/>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2024/1/9</w:t>
            </w:r>
          </w:p>
          <w:p w:rsidR="002235C8" w:rsidRPr="009F6201" w:rsidRDefault="002235C8" w:rsidP="002235C8">
            <w:pPr>
              <w:pStyle w:val="TableParagraph"/>
              <w:spacing w:before="126"/>
              <w:ind w:left="143"/>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2024/1/31</w:t>
            </w:r>
          </w:p>
        </w:tc>
        <w:tc>
          <w:tcPr>
            <w:tcW w:w="1177"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买入</w:t>
            </w:r>
          </w:p>
        </w:tc>
        <w:tc>
          <w:tcPr>
            <w:tcW w:w="1422"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1.8931 – 2.0328</w:t>
            </w:r>
          </w:p>
        </w:tc>
        <w:tc>
          <w:tcPr>
            <w:tcW w:w="1346"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13,316,345</w:t>
            </w:r>
          </w:p>
        </w:tc>
      </w:tr>
      <w:tr w:rsidR="002235C8" w:rsidRPr="002235C8" w:rsidTr="009F6201">
        <w:trPr>
          <w:trHeight w:hRule="exact" w:val="851"/>
        </w:trPr>
        <w:tc>
          <w:tcPr>
            <w:tcW w:w="1055"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143"/>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lastRenderedPageBreak/>
              <w:t>2024/2/1</w:t>
            </w:r>
          </w:p>
          <w:p w:rsidR="002235C8" w:rsidRPr="009F6201" w:rsidRDefault="002235C8" w:rsidP="002235C8">
            <w:pPr>
              <w:pStyle w:val="TableParagraph"/>
              <w:spacing w:before="126"/>
              <w:ind w:left="143"/>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2022/2/29</w:t>
            </w:r>
          </w:p>
        </w:tc>
        <w:tc>
          <w:tcPr>
            <w:tcW w:w="1177"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买入</w:t>
            </w:r>
          </w:p>
        </w:tc>
        <w:tc>
          <w:tcPr>
            <w:tcW w:w="1422"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1.9452 – 2.2107</w:t>
            </w:r>
          </w:p>
        </w:tc>
        <w:tc>
          <w:tcPr>
            <w:tcW w:w="1346"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8,780,226</w:t>
            </w:r>
          </w:p>
        </w:tc>
      </w:tr>
      <w:tr w:rsidR="002235C8" w:rsidRPr="002235C8" w:rsidTr="009F6201">
        <w:trPr>
          <w:trHeight w:hRule="exact" w:val="851"/>
        </w:trPr>
        <w:tc>
          <w:tcPr>
            <w:tcW w:w="1055"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143"/>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2024/3/1</w:t>
            </w:r>
          </w:p>
          <w:p w:rsidR="002235C8" w:rsidRPr="009F6201" w:rsidRDefault="002235C8" w:rsidP="002235C8">
            <w:pPr>
              <w:pStyle w:val="TableParagraph"/>
              <w:spacing w:before="126"/>
              <w:ind w:left="143"/>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2024/3/31</w:t>
            </w:r>
          </w:p>
        </w:tc>
        <w:tc>
          <w:tcPr>
            <w:tcW w:w="1177"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买入</w:t>
            </w:r>
          </w:p>
        </w:tc>
        <w:tc>
          <w:tcPr>
            <w:tcW w:w="1422"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2.1713– 2.4022</w:t>
            </w:r>
          </w:p>
        </w:tc>
        <w:tc>
          <w:tcPr>
            <w:tcW w:w="1346"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11,290,621</w:t>
            </w:r>
          </w:p>
        </w:tc>
      </w:tr>
      <w:tr w:rsidR="002235C8" w:rsidRPr="002235C8" w:rsidTr="009F6201">
        <w:trPr>
          <w:trHeight w:hRule="exact" w:val="851"/>
        </w:trPr>
        <w:tc>
          <w:tcPr>
            <w:tcW w:w="1055"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143"/>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2024/4/1</w:t>
            </w:r>
          </w:p>
          <w:p w:rsidR="002235C8" w:rsidRPr="009F6201" w:rsidRDefault="002235C8" w:rsidP="002235C8">
            <w:pPr>
              <w:pStyle w:val="TableParagraph"/>
              <w:spacing w:before="126"/>
              <w:ind w:left="143"/>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2022/4/30</w:t>
            </w:r>
          </w:p>
        </w:tc>
        <w:tc>
          <w:tcPr>
            <w:tcW w:w="1177"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买入</w:t>
            </w:r>
          </w:p>
        </w:tc>
        <w:tc>
          <w:tcPr>
            <w:tcW w:w="1422"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2.2756– 2.4400</w:t>
            </w:r>
          </w:p>
        </w:tc>
        <w:tc>
          <w:tcPr>
            <w:tcW w:w="1346"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10,200,575</w:t>
            </w:r>
          </w:p>
        </w:tc>
      </w:tr>
      <w:tr w:rsidR="002235C8" w:rsidRPr="002235C8" w:rsidTr="009F6201">
        <w:trPr>
          <w:trHeight w:hRule="exact" w:val="851"/>
        </w:trPr>
        <w:tc>
          <w:tcPr>
            <w:tcW w:w="1055"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143"/>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2022/5/1</w:t>
            </w:r>
          </w:p>
          <w:p w:rsidR="002235C8" w:rsidRPr="009F6201" w:rsidRDefault="002235C8" w:rsidP="002235C8">
            <w:pPr>
              <w:pStyle w:val="TableParagraph"/>
              <w:spacing w:before="126"/>
              <w:ind w:left="143"/>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2022/5/8</w:t>
            </w:r>
          </w:p>
        </w:tc>
        <w:tc>
          <w:tcPr>
            <w:tcW w:w="1177"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买入</w:t>
            </w:r>
          </w:p>
        </w:tc>
        <w:tc>
          <w:tcPr>
            <w:tcW w:w="1422"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2.4590 –2.5470</w:t>
            </w:r>
          </w:p>
        </w:tc>
        <w:tc>
          <w:tcPr>
            <w:tcW w:w="1346"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2235C8">
            <w:pPr>
              <w:pStyle w:val="TableParagraph"/>
              <w:spacing w:before="126"/>
              <w:ind w:left="215"/>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1,721,278</w:t>
            </w:r>
          </w:p>
        </w:tc>
      </w:tr>
    </w:tbl>
    <w:p w:rsidR="002235C8" w:rsidRDefault="002235C8" w:rsidP="002235C8">
      <w:pPr>
        <w:pStyle w:val="Default"/>
        <w:rPr>
          <w:b w:val="0"/>
          <w:bCs w:val="0"/>
        </w:rPr>
      </w:pPr>
      <w:r w:rsidRPr="002235C8">
        <w:rPr>
          <w:rFonts w:hint="eastAsia"/>
          <w:b w:val="0"/>
          <w:bCs w:val="0"/>
        </w:rPr>
        <w:t>除前述情况之外，信息披露义务人及其一致行动人不存在以其他方式买卖本基金的情形。</w:t>
      </w:r>
    </w:p>
    <w:p w:rsidR="002235C8" w:rsidRPr="002235C8" w:rsidRDefault="002235C8" w:rsidP="002235C8">
      <w:pPr>
        <w:pStyle w:val="Default"/>
        <w:rPr>
          <w:b w:val="0"/>
          <w:bCs w:val="0"/>
        </w:rPr>
      </w:pPr>
    </w:p>
    <w:p w:rsidR="002235C8" w:rsidRPr="002235C8" w:rsidRDefault="002235C8" w:rsidP="002235C8">
      <w:pPr>
        <w:pStyle w:val="Default"/>
      </w:pPr>
      <w:r w:rsidRPr="002235C8">
        <w:rPr>
          <w:rFonts w:hint="eastAsia"/>
        </w:rPr>
        <w:t>更正后：</w:t>
      </w:r>
    </w:p>
    <w:p w:rsidR="002235C8" w:rsidRPr="002235C8" w:rsidRDefault="002235C8" w:rsidP="002235C8">
      <w:pPr>
        <w:pStyle w:val="Default"/>
        <w:rPr>
          <w:b w:val="0"/>
          <w:bCs w:val="0"/>
        </w:rPr>
      </w:pPr>
      <w:r w:rsidRPr="002235C8">
        <w:rPr>
          <w:rFonts w:hint="eastAsia"/>
          <w:b w:val="0"/>
          <w:bCs w:val="0"/>
        </w:rPr>
        <w:t>截至本报告书签署日前六个月内，信息披露义务人及其一致行动人通过上海证券交易所的竞价交易方式买卖本基金，具体情况如下：</w:t>
      </w:r>
    </w:p>
    <w:tbl>
      <w:tblPr>
        <w:tblStyle w:val="TableNormal"/>
        <w:tblW w:w="5018" w:type="pct"/>
        <w:tblInd w:w="0" w:type="dxa"/>
        <w:tblLook w:val="04A0"/>
      </w:tblPr>
      <w:tblGrid>
        <w:gridCol w:w="1763"/>
        <w:gridCol w:w="1966"/>
        <w:gridCol w:w="2375"/>
        <w:gridCol w:w="2248"/>
      </w:tblGrid>
      <w:tr w:rsidR="002235C8" w:rsidRPr="002235C8" w:rsidTr="009F6201">
        <w:trPr>
          <w:trHeight w:hRule="exact" w:val="624"/>
        </w:trPr>
        <w:tc>
          <w:tcPr>
            <w:tcW w:w="1055"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143" w:firstLine="14"/>
              <w:jc w:val="center"/>
              <w:rPr>
                <w:rFonts w:asciiTheme="minorEastAsia" w:eastAsiaTheme="minorEastAsia" w:hAnsiTheme="minorEastAsia" w:cs="微软雅黑"/>
                <w:b/>
                <w:bCs/>
                <w:color w:val="auto"/>
              </w:rPr>
            </w:pPr>
            <w:r w:rsidRPr="009F6201">
              <w:rPr>
                <w:rFonts w:asciiTheme="minorEastAsia" w:eastAsiaTheme="minorEastAsia" w:hAnsiTheme="minorEastAsia" w:cs="微软雅黑" w:hint="eastAsia"/>
                <w:b/>
                <w:bCs/>
                <w:color w:val="auto"/>
                <w:lang w:eastAsia="zh-CN"/>
              </w:rPr>
              <w:t>日期</w:t>
            </w:r>
          </w:p>
        </w:tc>
        <w:tc>
          <w:tcPr>
            <w:tcW w:w="1177"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color w:val="auto"/>
              </w:rPr>
            </w:pPr>
            <w:r w:rsidRPr="009F6201">
              <w:rPr>
                <w:rFonts w:asciiTheme="minorEastAsia" w:eastAsiaTheme="minorEastAsia" w:hAnsiTheme="minorEastAsia" w:cs="微软雅黑" w:hint="eastAsia"/>
                <w:b/>
                <w:bCs/>
                <w:color w:val="auto"/>
                <w:spacing w:val="-4"/>
                <w:lang w:eastAsia="zh-CN"/>
              </w:rPr>
              <w:t>买卖方向</w:t>
            </w:r>
          </w:p>
        </w:tc>
        <w:tc>
          <w:tcPr>
            <w:tcW w:w="1422"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
                <w:bCs/>
                <w:color w:val="auto"/>
                <w:spacing w:val="-4"/>
                <w:lang w:eastAsia="zh-CN"/>
              </w:rPr>
            </w:pPr>
            <w:r w:rsidRPr="009F6201">
              <w:rPr>
                <w:rFonts w:asciiTheme="minorEastAsia" w:eastAsiaTheme="minorEastAsia" w:hAnsiTheme="minorEastAsia" w:cs="微软雅黑" w:hint="eastAsia"/>
                <w:b/>
                <w:bCs/>
                <w:color w:val="auto"/>
                <w:spacing w:val="-4"/>
                <w:lang w:eastAsia="zh-CN"/>
              </w:rPr>
              <w:t>价格区间（元/份）</w:t>
            </w:r>
          </w:p>
        </w:tc>
        <w:tc>
          <w:tcPr>
            <w:tcW w:w="1346"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
                <w:bCs/>
                <w:color w:val="auto"/>
                <w:spacing w:val="-4"/>
                <w:lang w:eastAsia="zh-CN"/>
              </w:rPr>
            </w:pPr>
            <w:r w:rsidRPr="009F6201">
              <w:rPr>
                <w:rFonts w:asciiTheme="minorEastAsia" w:eastAsiaTheme="minorEastAsia" w:hAnsiTheme="minorEastAsia" w:cs="微软雅黑" w:hint="eastAsia"/>
                <w:b/>
                <w:bCs/>
                <w:color w:val="auto"/>
                <w:spacing w:val="-4"/>
                <w:lang w:eastAsia="zh-CN"/>
              </w:rPr>
              <w:t>成交数量（份）</w:t>
            </w:r>
          </w:p>
        </w:tc>
      </w:tr>
      <w:tr w:rsidR="002235C8" w:rsidRPr="002235C8" w:rsidTr="009F6201">
        <w:trPr>
          <w:trHeight w:hRule="exact" w:val="851"/>
        </w:trPr>
        <w:tc>
          <w:tcPr>
            <w:tcW w:w="1055"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143" w:firstLine="14"/>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2024/1/9</w:t>
            </w:r>
          </w:p>
          <w:p w:rsidR="002235C8" w:rsidRPr="009F6201" w:rsidRDefault="002235C8" w:rsidP="00F140A2">
            <w:pPr>
              <w:pStyle w:val="TableParagraph"/>
              <w:spacing w:before="126"/>
              <w:ind w:left="143" w:firstLine="14"/>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2024/1/31</w:t>
            </w:r>
          </w:p>
        </w:tc>
        <w:tc>
          <w:tcPr>
            <w:tcW w:w="1177"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买入</w:t>
            </w:r>
          </w:p>
        </w:tc>
        <w:tc>
          <w:tcPr>
            <w:tcW w:w="1422"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1.8931 – 2.0328</w:t>
            </w:r>
          </w:p>
        </w:tc>
        <w:tc>
          <w:tcPr>
            <w:tcW w:w="1346"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13,316,345</w:t>
            </w:r>
          </w:p>
        </w:tc>
      </w:tr>
      <w:tr w:rsidR="002235C8" w:rsidRPr="002235C8" w:rsidTr="009F6201">
        <w:trPr>
          <w:trHeight w:hRule="exact" w:val="851"/>
        </w:trPr>
        <w:tc>
          <w:tcPr>
            <w:tcW w:w="1055"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143" w:firstLine="14"/>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2024/2/1</w:t>
            </w:r>
          </w:p>
          <w:p w:rsidR="002235C8" w:rsidRPr="009F6201" w:rsidRDefault="002235C8" w:rsidP="00F140A2">
            <w:pPr>
              <w:pStyle w:val="TableParagraph"/>
              <w:spacing w:before="126"/>
              <w:ind w:left="143" w:firstLine="14"/>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2024/2/29</w:t>
            </w:r>
          </w:p>
        </w:tc>
        <w:tc>
          <w:tcPr>
            <w:tcW w:w="1177"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买入</w:t>
            </w:r>
          </w:p>
        </w:tc>
        <w:tc>
          <w:tcPr>
            <w:tcW w:w="1422"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1.9452 – 2.2107</w:t>
            </w:r>
          </w:p>
        </w:tc>
        <w:tc>
          <w:tcPr>
            <w:tcW w:w="1346"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8,780,226</w:t>
            </w:r>
          </w:p>
        </w:tc>
      </w:tr>
      <w:tr w:rsidR="002235C8" w:rsidRPr="002235C8" w:rsidTr="009F6201">
        <w:trPr>
          <w:trHeight w:hRule="exact" w:val="851"/>
        </w:trPr>
        <w:tc>
          <w:tcPr>
            <w:tcW w:w="1055"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143" w:firstLine="14"/>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2024/3/1</w:t>
            </w:r>
          </w:p>
          <w:p w:rsidR="002235C8" w:rsidRPr="009F6201" w:rsidRDefault="002235C8" w:rsidP="00F140A2">
            <w:pPr>
              <w:pStyle w:val="TableParagraph"/>
              <w:spacing w:before="126"/>
              <w:ind w:left="143" w:firstLine="14"/>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2024/3/31</w:t>
            </w:r>
          </w:p>
        </w:tc>
        <w:tc>
          <w:tcPr>
            <w:tcW w:w="1177"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买入</w:t>
            </w:r>
          </w:p>
        </w:tc>
        <w:tc>
          <w:tcPr>
            <w:tcW w:w="1422"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2.1713– 2.4022</w:t>
            </w:r>
          </w:p>
        </w:tc>
        <w:tc>
          <w:tcPr>
            <w:tcW w:w="1346"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11,290,621</w:t>
            </w:r>
          </w:p>
        </w:tc>
      </w:tr>
      <w:tr w:rsidR="002235C8" w:rsidRPr="002235C8" w:rsidTr="009F6201">
        <w:trPr>
          <w:trHeight w:hRule="exact" w:val="851"/>
        </w:trPr>
        <w:tc>
          <w:tcPr>
            <w:tcW w:w="1055"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143" w:firstLine="14"/>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2024/4/1</w:t>
            </w:r>
          </w:p>
          <w:p w:rsidR="002235C8" w:rsidRPr="009F6201" w:rsidRDefault="002235C8" w:rsidP="00F140A2">
            <w:pPr>
              <w:pStyle w:val="TableParagraph"/>
              <w:spacing w:before="126"/>
              <w:ind w:left="143" w:firstLine="14"/>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2024/4/30</w:t>
            </w:r>
          </w:p>
        </w:tc>
        <w:tc>
          <w:tcPr>
            <w:tcW w:w="1177"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买入</w:t>
            </w:r>
          </w:p>
        </w:tc>
        <w:tc>
          <w:tcPr>
            <w:tcW w:w="1422"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2.2756– 2.4400</w:t>
            </w:r>
          </w:p>
        </w:tc>
        <w:tc>
          <w:tcPr>
            <w:tcW w:w="1346"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10,200,575</w:t>
            </w:r>
          </w:p>
        </w:tc>
      </w:tr>
      <w:tr w:rsidR="002235C8" w:rsidRPr="002235C8" w:rsidTr="009F6201">
        <w:trPr>
          <w:trHeight w:hRule="exact" w:val="851"/>
        </w:trPr>
        <w:tc>
          <w:tcPr>
            <w:tcW w:w="1055"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143" w:firstLine="14"/>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2024/5/1</w:t>
            </w:r>
          </w:p>
          <w:p w:rsidR="002235C8" w:rsidRPr="009F6201" w:rsidRDefault="002235C8" w:rsidP="00F140A2">
            <w:pPr>
              <w:pStyle w:val="TableParagraph"/>
              <w:spacing w:before="126"/>
              <w:ind w:left="143" w:firstLine="14"/>
              <w:jc w:val="center"/>
              <w:rPr>
                <w:rFonts w:asciiTheme="minorEastAsia" w:eastAsiaTheme="minorEastAsia" w:hAnsiTheme="minorEastAsia" w:cs="微软雅黑"/>
                <w:bCs/>
                <w:color w:val="auto"/>
                <w:lang w:eastAsia="zh-CN"/>
              </w:rPr>
            </w:pPr>
            <w:r w:rsidRPr="009F6201">
              <w:rPr>
                <w:rFonts w:asciiTheme="minorEastAsia" w:eastAsiaTheme="minorEastAsia" w:hAnsiTheme="minorEastAsia" w:cs="微软雅黑" w:hint="eastAsia"/>
                <w:bCs/>
                <w:color w:val="auto"/>
                <w:lang w:eastAsia="zh-CN"/>
              </w:rPr>
              <w:t>2024/5/8</w:t>
            </w:r>
          </w:p>
        </w:tc>
        <w:tc>
          <w:tcPr>
            <w:tcW w:w="1177"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买入</w:t>
            </w:r>
          </w:p>
        </w:tc>
        <w:tc>
          <w:tcPr>
            <w:tcW w:w="1422"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2.4590 –2.5470</w:t>
            </w:r>
          </w:p>
        </w:tc>
        <w:tc>
          <w:tcPr>
            <w:tcW w:w="1346" w:type="pct"/>
            <w:tcBorders>
              <w:top w:val="single" w:sz="6" w:space="0" w:color="000000"/>
              <w:left w:val="single" w:sz="6" w:space="0" w:color="000000"/>
              <w:bottom w:val="single" w:sz="6" w:space="0" w:color="000000"/>
              <w:right w:val="single" w:sz="6" w:space="0" w:color="000000"/>
            </w:tcBorders>
            <w:vAlign w:val="center"/>
          </w:tcPr>
          <w:p w:rsidR="002235C8" w:rsidRPr="009F6201" w:rsidRDefault="002235C8" w:rsidP="00F140A2">
            <w:pPr>
              <w:pStyle w:val="TableParagraph"/>
              <w:spacing w:before="126"/>
              <w:ind w:left="215" w:firstLine="14"/>
              <w:jc w:val="center"/>
              <w:rPr>
                <w:rFonts w:asciiTheme="minorEastAsia" w:eastAsiaTheme="minorEastAsia" w:hAnsiTheme="minorEastAsia" w:cs="微软雅黑"/>
                <w:bCs/>
                <w:color w:val="auto"/>
                <w:spacing w:val="-4"/>
                <w:lang w:eastAsia="zh-CN"/>
              </w:rPr>
            </w:pPr>
            <w:r w:rsidRPr="009F6201">
              <w:rPr>
                <w:rFonts w:asciiTheme="minorEastAsia" w:eastAsiaTheme="minorEastAsia" w:hAnsiTheme="minorEastAsia" w:cs="微软雅黑" w:hint="eastAsia"/>
                <w:bCs/>
                <w:color w:val="auto"/>
                <w:spacing w:val="-4"/>
                <w:lang w:eastAsia="zh-CN"/>
              </w:rPr>
              <w:t>1,721,278</w:t>
            </w:r>
          </w:p>
        </w:tc>
      </w:tr>
    </w:tbl>
    <w:p w:rsidR="002235C8" w:rsidRDefault="002235C8" w:rsidP="002235C8">
      <w:pPr>
        <w:pStyle w:val="Default"/>
        <w:rPr>
          <w:b w:val="0"/>
          <w:bCs w:val="0"/>
        </w:rPr>
      </w:pPr>
      <w:r w:rsidRPr="002235C8">
        <w:rPr>
          <w:rFonts w:hint="eastAsia"/>
          <w:b w:val="0"/>
          <w:bCs w:val="0"/>
        </w:rPr>
        <w:t>除前述情况之外，信息披露义务人及其一致行动人不存在以其他方式买卖本基金的情形。</w:t>
      </w:r>
    </w:p>
    <w:p w:rsidR="002235C8" w:rsidRDefault="002235C8" w:rsidP="00F16FCB">
      <w:pPr>
        <w:pStyle w:val="Default"/>
        <w:rPr>
          <w:b w:val="0"/>
          <w:bCs w:val="0"/>
        </w:rPr>
      </w:pPr>
    </w:p>
    <w:p w:rsidR="002235C8" w:rsidRPr="002235C8" w:rsidRDefault="002235C8" w:rsidP="002235C8">
      <w:pPr>
        <w:pStyle w:val="Default"/>
        <w:rPr>
          <w:b w:val="0"/>
          <w:bCs w:val="0"/>
        </w:rPr>
      </w:pPr>
      <w:r w:rsidRPr="002235C8">
        <w:rPr>
          <w:rFonts w:hint="eastAsia"/>
          <w:b w:val="0"/>
          <w:bCs w:val="0"/>
        </w:rPr>
        <w:t>除上述更正内容外，《详式权益变动报告书》的其他内容保持不变。更正后的《详式权益变动报告书》（更正后）详见</w:t>
      </w:r>
      <w:r w:rsidR="007A7640">
        <w:rPr>
          <w:rFonts w:hint="eastAsia"/>
          <w:b w:val="0"/>
          <w:bCs w:val="0"/>
        </w:rPr>
        <w:t>相关信息披露网站</w:t>
      </w:r>
      <w:r w:rsidRPr="002235C8">
        <w:rPr>
          <w:rFonts w:hint="eastAsia"/>
          <w:b w:val="0"/>
          <w:bCs w:val="0"/>
        </w:rPr>
        <w:t>。</w:t>
      </w:r>
      <w:r w:rsidR="00F140A2">
        <w:rPr>
          <w:rFonts w:hint="eastAsia"/>
          <w:b w:val="0"/>
          <w:bCs w:val="0"/>
        </w:rPr>
        <w:t>信息披露义务人及其一致行动人、基金管理人</w:t>
      </w:r>
      <w:r w:rsidRPr="002235C8">
        <w:rPr>
          <w:rFonts w:hint="eastAsia"/>
          <w:b w:val="0"/>
          <w:bCs w:val="0"/>
        </w:rPr>
        <w:t>对此次更正给投资者带来的不便深表歉意，敬请广</w:t>
      </w:r>
      <w:r w:rsidRPr="002235C8">
        <w:rPr>
          <w:rFonts w:hint="eastAsia"/>
          <w:b w:val="0"/>
          <w:bCs w:val="0"/>
        </w:rPr>
        <w:lastRenderedPageBreak/>
        <w:t>大投资者谅解。</w:t>
      </w:r>
      <w:r w:rsidR="00C60DA3">
        <w:rPr>
          <w:rFonts w:hint="eastAsia"/>
          <w:b w:val="0"/>
          <w:bCs w:val="0"/>
        </w:rPr>
        <w:t>信息披露相关方</w:t>
      </w:r>
      <w:r w:rsidR="00F140A2" w:rsidRPr="00F16FCB">
        <w:rPr>
          <w:rFonts w:hint="eastAsia"/>
          <w:b w:val="0"/>
          <w:bCs w:val="0"/>
        </w:rPr>
        <w:t>将对基础设施基金的收购及份额权益变动进行专项培训，加强对</w:t>
      </w:r>
      <w:r w:rsidR="007A7640">
        <w:rPr>
          <w:rFonts w:hint="eastAsia"/>
          <w:b w:val="0"/>
          <w:bCs w:val="0"/>
        </w:rPr>
        <w:t>相关</w:t>
      </w:r>
      <w:r w:rsidR="00F140A2" w:rsidRPr="00F16FCB">
        <w:rPr>
          <w:rFonts w:hint="eastAsia"/>
          <w:b w:val="0"/>
          <w:bCs w:val="0"/>
        </w:rPr>
        <w:t>法律、法规及规范性文件的学习，完善交易相关制度管理，</w:t>
      </w:r>
      <w:r w:rsidR="00C60DA3">
        <w:rPr>
          <w:rFonts w:hint="eastAsia"/>
          <w:b w:val="0"/>
          <w:bCs w:val="0"/>
        </w:rPr>
        <w:t>杜绝</w:t>
      </w:r>
      <w:r w:rsidR="00F140A2" w:rsidRPr="00F16FCB">
        <w:rPr>
          <w:rFonts w:hint="eastAsia"/>
          <w:b w:val="0"/>
          <w:bCs w:val="0"/>
        </w:rPr>
        <w:t>此类情况再次发生。</w:t>
      </w:r>
    </w:p>
    <w:p w:rsidR="002235C8" w:rsidRPr="002235C8" w:rsidRDefault="002235C8" w:rsidP="002235C8">
      <w:pPr>
        <w:pStyle w:val="Default"/>
        <w:rPr>
          <w:b w:val="0"/>
          <w:bCs w:val="0"/>
        </w:rPr>
      </w:pPr>
      <w:r w:rsidRPr="002235C8">
        <w:rPr>
          <w:rFonts w:hint="eastAsia"/>
          <w:b w:val="0"/>
          <w:bCs w:val="0"/>
        </w:rPr>
        <w:t>特此公告。</w:t>
      </w:r>
    </w:p>
    <w:p w:rsidR="00917673" w:rsidRDefault="00917673" w:rsidP="00F16FCB">
      <w:pPr>
        <w:pStyle w:val="Default"/>
        <w:rPr>
          <w:b w:val="0"/>
          <w:bCs w:val="0"/>
        </w:rPr>
      </w:pPr>
    </w:p>
    <w:p w:rsidR="00EA3415" w:rsidRDefault="00EA3415" w:rsidP="00F16FCB">
      <w:pPr>
        <w:pStyle w:val="Default"/>
      </w:pPr>
    </w:p>
    <w:p w:rsidR="008E4500" w:rsidRPr="00F16FCB" w:rsidRDefault="00C57295" w:rsidP="00D1797E">
      <w:pPr>
        <w:pStyle w:val="Default"/>
        <w:jc w:val="right"/>
        <w:rPr>
          <w:b w:val="0"/>
          <w:bCs w:val="0"/>
        </w:rPr>
      </w:pPr>
      <w:r w:rsidRPr="00F16FCB">
        <w:rPr>
          <w:rFonts w:hint="eastAsia"/>
          <w:b w:val="0"/>
          <w:bCs w:val="0"/>
        </w:rPr>
        <w:t>建信基金管理有限责任公司</w:t>
      </w:r>
    </w:p>
    <w:p w:rsidR="008E4500" w:rsidRPr="00F16FCB" w:rsidRDefault="00EA3415" w:rsidP="00D1797E">
      <w:pPr>
        <w:pStyle w:val="Default"/>
        <w:jc w:val="right"/>
        <w:rPr>
          <w:b w:val="0"/>
          <w:bCs w:val="0"/>
        </w:rPr>
      </w:pPr>
      <w:r w:rsidRPr="00F16FCB">
        <w:rPr>
          <w:rFonts w:hint="eastAsia"/>
          <w:b w:val="0"/>
          <w:bCs w:val="0"/>
        </w:rPr>
        <w:t>2024年5</w:t>
      </w:r>
      <w:r w:rsidR="00717F1C" w:rsidRPr="00F16FCB">
        <w:rPr>
          <w:rFonts w:hint="eastAsia"/>
          <w:b w:val="0"/>
          <w:bCs w:val="0"/>
        </w:rPr>
        <w:t>月</w:t>
      </w:r>
      <w:r w:rsidRPr="00F16FCB">
        <w:rPr>
          <w:rFonts w:hint="eastAsia"/>
          <w:b w:val="0"/>
          <w:bCs w:val="0"/>
        </w:rPr>
        <w:t>1</w:t>
      </w:r>
      <w:r w:rsidR="00D1797E">
        <w:rPr>
          <w:rFonts w:hint="eastAsia"/>
          <w:b w:val="0"/>
          <w:bCs w:val="0"/>
        </w:rPr>
        <w:t>4</w:t>
      </w:r>
      <w:r w:rsidR="00C57295" w:rsidRPr="00F16FCB">
        <w:rPr>
          <w:rFonts w:hint="eastAsia"/>
          <w:b w:val="0"/>
          <w:bCs w:val="0"/>
        </w:rPr>
        <w:t>日</w:t>
      </w:r>
    </w:p>
    <w:sectPr w:rsidR="008E4500" w:rsidRPr="00F16FCB" w:rsidSect="00E4278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96E" w:rsidRDefault="00FE496E">
      <w:pPr>
        <w:spacing w:line="240" w:lineRule="auto"/>
      </w:pPr>
      <w:r>
        <w:separator/>
      </w:r>
    </w:p>
  </w:endnote>
  <w:endnote w:type="continuationSeparator" w:id="0">
    <w:p w:rsidR="00FE496E" w:rsidRDefault="00FE49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00" w:rsidRDefault="008E4500" w:rsidP="00D260E3">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00" w:rsidRDefault="008E4500" w:rsidP="00D260E3">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00" w:rsidRDefault="008E4500" w:rsidP="00D260E3">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96E" w:rsidRDefault="00FE496E">
      <w:pPr>
        <w:spacing w:line="240" w:lineRule="auto"/>
      </w:pPr>
      <w:r>
        <w:separator/>
      </w:r>
    </w:p>
  </w:footnote>
  <w:footnote w:type="continuationSeparator" w:id="0">
    <w:p w:rsidR="00FE496E" w:rsidRDefault="00FE49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00" w:rsidRDefault="008E4500" w:rsidP="00D260E3">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AB" w:rsidRDefault="00E452AB" w:rsidP="00FF2E5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00" w:rsidRDefault="008E4500" w:rsidP="00D260E3">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FmZmJiYjRmNWE2MDExMTdjNGE4NWE0OWEwNWYxMmYifQ=="/>
    <w:docVar w:name="KSO_WPS_MARK_KEY" w:val="853292cd-8fa7-4de7-9b87-440656f8f073"/>
  </w:docVars>
  <w:rsids>
    <w:rsidRoot w:val="00B04103"/>
    <w:rsid w:val="000001B0"/>
    <w:rsid w:val="0000751E"/>
    <w:rsid w:val="000271C5"/>
    <w:rsid w:val="000277CB"/>
    <w:rsid w:val="000313B1"/>
    <w:rsid w:val="000321BE"/>
    <w:rsid w:val="00067921"/>
    <w:rsid w:val="00091A63"/>
    <w:rsid w:val="000C2928"/>
    <w:rsid w:val="00101AF5"/>
    <w:rsid w:val="00120861"/>
    <w:rsid w:val="0013735E"/>
    <w:rsid w:val="0014232B"/>
    <w:rsid w:val="00144AAE"/>
    <w:rsid w:val="00147CE0"/>
    <w:rsid w:val="00161E6F"/>
    <w:rsid w:val="00164400"/>
    <w:rsid w:val="00166EAF"/>
    <w:rsid w:val="00172998"/>
    <w:rsid w:val="001932D2"/>
    <w:rsid w:val="001A0AAE"/>
    <w:rsid w:val="0020390E"/>
    <w:rsid w:val="002235C8"/>
    <w:rsid w:val="0022553E"/>
    <w:rsid w:val="0024206A"/>
    <w:rsid w:val="0025307C"/>
    <w:rsid w:val="00265AED"/>
    <w:rsid w:val="0029161C"/>
    <w:rsid w:val="002C5725"/>
    <w:rsid w:val="002D5FB3"/>
    <w:rsid w:val="002E0825"/>
    <w:rsid w:val="00307660"/>
    <w:rsid w:val="00314389"/>
    <w:rsid w:val="003423AC"/>
    <w:rsid w:val="00346F6F"/>
    <w:rsid w:val="003A351F"/>
    <w:rsid w:val="003D28CF"/>
    <w:rsid w:val="003F1624"/>
    <w:rsid w:val="003F73DC"/>
    <w:rsid w:val="00407AD4"/>
    <w:rsid w:val="00450E98"/>
    <w:rsid w:val="00456F95"/>
    <w:rsid w:val="0045714D"/>
    <w:rsid w:val="00492D7E"/>
    <w:rsid w:val="004A3D0E"/>
    <w:rsid w:val="004B3976"/>
    <w:rsid w:val="004C26BF"/>
    <w:rsid w:val="004C37D0"/>
    <w:rsid w:val="004C40F6"/>
    <w:rsid w:val="004D7D6E"/>
    <w:rsid w:val="0050335F"/>
    <w:rsid w:val="005649CA"/>
    <w:rsid w:val="00572E0F"/>
    <w:rsid w:val="00593680"/>
    <w:rsid w:val="005B23D5"/>
    <w:rsid w:val="005C57F3"/>
    <w:rsid w:val="005C77CA"/>
    <w:rsid w:val="00633D79"/>
    <w:rsid w:val="00640376"/>
    <w:rsid w:val="00642E6F"/>
    <w:rsid w:val="0064353A"/>
    <w:rsid w:val="006470FA"/>
    <w:rsid w:val="006551E3"/>
    <w:rsid w:val="00660048"/>
    <w:rsid w:val="0066794F"/>
    <w:rsid w:val="006A0AB4"/>
    <w:rsid w:val="006A3DE5"/>
    <w:rsid w:val="006A452F"/>
    <w:rsid w:val="006E6CDC"/>
    <w:rsid w:val="00707956"/>
    <w:rsid w:val="00714D0D"/>
    <w:rsid w:val="00717F1C"/>
    <w:rsid w:val="007362CF"/>
    <w:rsid w:val="00743785"/>
    <w:rsid w:val="00756689"/>
    <w:rsid w:val="0076149A"/>
    <w:rsid w:val="00762166"/>
    <w:rsid w:val="007748CE"/>
    <w:rsid w:val="007767A0"/>
    <w:rsid w:val="007A7640"/>
    <w:rsid w:val="007D2FBD"/>
    <w:rsid w:val="007F349C"/>
    <w:rsid w:val="007F5529"/>
    <w:rsid w:val="00811481"/>
    <w:rsid w:val="00821DF5"/>
    <w:rsid w:val="00823080"/>
    <w:rsid w:val="00824281"/>
    <w:rsid w:val="0083531F"/>
    <w:rsid w:val="008466FF"/>
    <w:rsid w:val="008478ED"/>
    <w:rsid w:val="008537F3"/>
    <w:rsid w:val="0085722B"/>
    <w:rsid w:val="00864F49"/>
    <w:rsid w:val="00875178"/>
    <w:rsid w:val="0088164D"/>
    <w:rsid w:val="00884A02"/>
    <w:rsid w:val="00890DC6"/>
    <w:rsid w:val="00894782"/>
    <w:rsid w:val="008D1488"/>
    <w:rsid w:val="008E4500"/>
    <w:rsid w:val="009056A9"/>
    <w:rsid w:val="00905B25"/>
    <w:rsid w:val="00917673"/>
    <w:rsid w:val="00955ED1"/>
    <w:rsid w:val="0099501C"/>
    <w:rsid w:val="00996992"/>
    <w:rsid w:val="009D7C3D"/>
    <w:rsid w:val="009F6201"/>
    <w:rsid w:val="00A12508"/>
    <w:rsid w:val="00A57F2B"/>
    <w:rsid w:val="00A80018"/>
    <w:rsid w:val="00A8136D"/>
    <w:rsid w:val="00A924AB"/>
    <w:rsid w:val="00A95AEA"/>
    <w:rsid w:val="00AA1D03"/>
    <w:rsid w:val="00AB3349"/>
    <w:rsid w:val="00AD3F3D"/>
    <w:rsid w:val="00AD6158"/>
    <w:rsid w:val="00B04103"/>
    <w:rsid w:val="00B53F30"/>
    <w:rsid w:val="00B90463"/>
    <w:rsid w:val="00B9281E"/>
    <w:rsid w:val="00BA1664"/>
    <w:rsid w:val="00BC2483"/>
    <w:rsid w:val="00BE15A0"/>
    <w:rsid w:val="00BF25FA"/>
    <w:rsid w:val="00BF328E"/>
    <w:rsid w:val="00C05C7D"/>
    <w:rsid w:val="00C32D23"/>
    <w:rsid w:val="00C4225F"/>
    <w:rsid w:val="00C57295"/>
    <w:rsid w:val="00C60DA3"/>
    <w:rsid w:val="00C701EF"/>
    <w:rsid w:val="00CA0A38"/>
    <w:rsid w:val="00CC5E53"/>
    <w:rsid w:val="00CD50EA"/>
    <w:rsid w:val="00CF69B3"/>
    <w:rsid w:val="00D06AA8"/>
    <w:rsid w:val="00D12221"/>
    <w:rsid w:val="00D14BE0"/>
    <w:rsid w:val="00D1797E"/>
    <w:rsid w:val="00D23054"/>
    <w:rsid w:val="00D25EDB"/>
    <w:rsid w:val="00D260E3"/>
    <w:rsid w:val="00D35797"/>
    <w:rsid w:val="00D357FB"/>
    <w:rsid w:val="00D66A7D"/>
    <w:rsid w:val="00D7326D"/>
    <w:rsid w:val="00DA4B06"/>
    <w:rsid w:val="00DF60EA"/>
    <w:rsid w:val="00DF640F"/>
    <w:rsid w:val="00E054D2"/>
    <w:rsid w:val="00E223D2"/>
    <w:rsid w:val="00E33FF5"/>
    <w:rsid w:val="00E4278C"/>
    <w:rsid w:val="00E452AB"/>
    <w:rsid w:val="00E70662"/>
    <w:rsid w:val="00E72483"/>
    <w:rsid w:val="00E76871"/>
    <w:rsid w:val="00E86993"/>
    <w:rsid w:val="00EA3415"/>
    <w:rsid w:val="00EB5AC9"/>
    <w:rsid w:val="00ED5B15"/>
    <w:rsid w:val="00EE0E4A"/>
    <w:rsid w:val="00EE12EE"/>
    <w:rsid w:val="00EE2256"/>
    <w:rsid w:val="00EF2582"/>
    <w:rsid w:val="00F140A2"/>
    <w:rsid w:val="00F16FCB"/>
    <w:rsid w:val="00F2010C"/>
    <w:rsid w:val="00F42587"/>
    <w:rsid w:val="00F47AA9"/>
    <w:rsid w:val="00F529F3"/>
    <w:rsid w:val="00F52C74"/>
    <w:rsid w:val="00F56A9D"/>
    <w:rsid w:val="00F66BEF"/>
    <w:rsid w:val="00FC240E"/>
    <w:rsid w:val="00FE2222"/>
    <w:rsid w:val="00FE496E"/>
    <w:rsid w:val="00FF0AC8"/>
    <w:rsid w:val="00FF2E5E"/>
    <w:rsid w:val="00FF32A3"/>
    <w:rsid w:val="0D475CF8"/>
    <w:rsid w:val="18375B50"/>
    <w:rsid w:val="2B151343"/>
    <w:rsid w:val="51CE6AA5"/>
    <w:rsid w:val="573F5703"/>
    <w:rsid w:val="597A5DA9"/>
    <w:rsid w:val="5C25467A"/>
    <w:rsid w:val="5F93775D"/>
    <w:rsid w:val="645059B8"/>
    <w:rsid w:val="66500088"/>
    <w:rsid w:val="7FA913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2235C8"/>
    <w:pPr>
      <w:widowControl w:val="0"/>
      <w:spacing w:line="520" w:lineRule="exact"/>
      <w:ind w:firstLineChars="200" w:firstLine="42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qFormat/>
    <w:rsid w:val="00E4278C"/>
    <w:pPr>
      <w:ind w:firstLineChars="0" w:firstLine="0"/>
      <w:jc w:val="left"/>
    </w:pPr>
  </w:style>
  <w:style w:type="paragraph" w:styleId="a4">
    <w:name w:val="Body Text"/>
    <w:basedOn w:val="a"/>
    <w:autoRedefine/>
    <w:qFormat/>
    <w:rsid w:val="00E4278C"/>
    <w:pPr>
      <w:spacing w:after="120"/>
    </w:pPr>
  </w:style>
  <w:style w:type="paragraph" w:styleId="a5">
    <w:name w:val="Balloon Text"/>
    <w:basedOn w:val="a"/>
    <w:link w:val="Char0"/>
    <w:autoRedefine/>
    <w:uiPriority w:val="99"/>
    <w:qFormat/>
    <w:rsid w:val="00E4278C"/>
    <w:rPr>
      <w:sz w:val="18"/>
      <w:szCs w:val="18"/>
    </w:rPr>
  </w:style>
  <w:style w:type="paragraph" w:styleId="a6">
    <w:name w:val="footer"/>
    <w:basedOn w:val="a"/>
    <w:link w:val="Char1"/>
    <w:autoRedefine/>
    <w:uiPriority w:val="99"/>
    <w:qFormat/>
    <w:rsid w:val="00E4278C"/>
    <w:pPr>
      <w:tabs>
        <w:tab w:val="center" w:pos="4153"/>
        <w:tab w:val="right" w:pos="8306"/>
      </w:tabs>
      <w:snapToGrid w:val="0"/>
      <w:jc w:val="left"/>
    </w:pPr>
    <w:rPr>
      <w:sz w:val="18"/>
      <w:szCs w:val="18"/>
    </w:rPr>
  </w:style>
  <w:style w:type="paragraph" w:styleId="a7">
    <w:name w:val="header"/>
    <w:basedOn w:val="a"/>
    <w:link w:val="Char2"/>
    <w:autoRedefine/>
    <w:uiPriority w:val="99"/>
    <w:qFormat/>
    <w:rsid w:val="00E4278C"/>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uiPriority w:val="99"/>
    <w:qFormat/>
    <w:rsid w:val="00E4278C"/>
    <w:pPr>
      <w:widowControl/>
      <w:spacing w:before="100" w:beforeAutospacing="1" w:after="100" w:afterAutospacing="1" w:line="560" w:lineRule="exact"/>
      <w:ind w:firstLine="200"/>
      <w:jc w:val="left"/>
    </w:pPr>
    <w:rPr>
      <w:rFonts w:ascii="宋体" w:hAnsi="宋体"/>
      <w:color w:val="000000"/>
      <w:kern w:val="0"/>
      <w:sz w:val="24"/>
      <w:szCs w:val="24"/>
    </w:rPr>
  </w:style>
  <w:style w:type="paragraph" w:styleId="a9">
    <w:name w:val="annotation subject"/>
    <w:basedOn w:val="a3"/>
    <w:next w:val="a3"/>
    <w:link w:val="Char3"/>
    <w:autoRedefine/>
    <w:uiPriority w:val="99"/>
    <w:qFormat/>
    <w:rsid w:val="00E4278C"/>
    <w:rPr>
      <w:b/>
      <w:bCs/>
    </w:rPr>
  </w:style>
  <w:style w:type="character" w:styleId="aa">
    <w:name w:val="Hyperlink"/>
    <w:basedOn w:val="a0"/>
    <w:autoRedefine/>
    <w:uiPriority w:val="99"/>
    <w:qFormat/>
    <w:rsid w:val="00E4278C"/>
    <w:rPr>
      <w:color w:val="0000FF"/>
      <w:u w:val="single"/>
    </w:rPr>
  </w:style>
  <w:style w:type="character" w:styleId="ab">
    <w:name w:val="annotation reference"/>
    <w:basedOn w:val="a0"/>
    <w:autoRedefine/>
    <w:uiPriority w:val="99"/>
    <w:qFormat/>
    <w:rsid w:val="00E4278C"/>
    <w:rPr>
      <w:sz w:val="21"/>
      <w:szCs w:val="21"/>
    </w:rPr>
  </w:style>
  <w:style w:type="paragraph" w:customStyle="1" w:styleId="Default">
    <w:name w:val="Default"/>
    <w:autoRedefine/>
    <w:qFormat/>
    <w:rsid w:val="00F16FCB"/>
    <w:pPr>
      <w:widowControl w:val="0"/>
      <w:autoSpaceDE w:val="0"/>
      <w:autoSpaceDN w:val="0"/>
      <w:adjustRightInd w:val="0"/>
      <w:spacing w:line="360" w:lineRule="auto"/>
      <w:ind w:firstLine="420"/>
      <w:jc w:val="both"/>
    </w:pPr>
    <w:rPr>
      <w:rFonts w:ascii="宋体" w:hAnsi="Calibri" w:cs="宋体"/>
      <w:b/>
      <w:bCs/>
      <w:color w:val="000000"/>
      <w:sz w:val="24"/>
      <w:szCs w:val="24"/>
    </w:rPr>
  </w:style>
  <w:style w:type="character" w:customStyle="1" w:styleId="Char2">
    <w:name w:val="页眉 Char"/>
    <w:basedOn w:val="a0"/>
    <w:link w:val="a7"/>
    <w:autoRedefine/>
    <w:uiPriority w:val="99"/>
    <w:qFormat/>
    <w:rsid w:val="00E4278C"/>
    <w:rPr>
      <w:sz w:val="18"/>
      <w:szCs w:val="18"/>
    </w:rPr>
  </w:style>
  <w:style w:type="character" w:customStyle="1" w:styleId="Char1">
    <w:name w:val="页脚 Char"/>
    <w:basedOn w:val="a0"/>
    <w:link w:val="a6"/>
    <w:autoRedefine/>
    <w:uiPriority w:val="99"/>
    <w:qFormat/>
    <w:rsid w:val="00E4278C"/>
    <w:rPr>
      <w:sz w:val="18"/>
      <w:szCs w:val="18"/>
    </w:rPr>
  </w:style>
  <w:style w:type="character" w:customStyle="1" w:styleId="Char0">
    <w:name w:val="批注框文本 Char"/>
    <w:basedOn w:val="a0"/>
    <w:link w:val="a5"/>
    <w:autoRedefine/>
    <w:uiPriority w:val="99"/>
    <w:qFormat/>
    <w:rsid w:val="00E4278C"/>
    <w:rPr>
      <w:kern w:val="2"/>
      <w:sz w:val="18"/>
      <w:szCs w:val="18"/>
    </w:rPr>
  </w:style>
  <w:style w:type="paragraph" w:customStyle="1" w:styleId="1">
    <w:name w:val="修订1"/>
    <w:autoRedefine/>
    <w:uiPriority w:val="99"/>
    <w:qFormat/>
    <w:rsid w:val="00E4278C"/>
    <w:rPr>
      <w:rFonts w:ascii="Calibri" w:hAnsi="Calibri" w:cs="宋体"/>
      <w:kern w:val="2"/>
      <w:sz w:val="21"/>
      <w:szCs w:val="22"/>
    </w:rPr>
  </w:style>
  <w:style w:type="character" w:customStyle="1" w:styleId="Char">
    <w:name w:val="批注文字 Char"/>
    <w:basedOn w:val="a0"/>
    <w:link w:val="a3"/>
    <w:autoRedefine/>
    <w:uiPriority w:val="99"/>
    <w:qFormat/>
    <w:rsid w:val="00E4278C"/>
    <w:rPr>
      <w:rFonts w:ascii="Calibri" w:hAnsi="Calibri" w:cs="宋体"/>
      <w:kern w:val="2"/>
      <w:sz w:val="21"/>
      <w:szCs w:val="22"/>
    </w:rPr>
  </w:style>
  <w:style w:type="character" w:customStyle="1" w:styleId="Char3">
    <w:name w:val="批注主题 Char"/>
    <w:basedOn w:val="Char"/>
    <w:link w:val="a9"/>
    <w:autoRedefine/>
    <w:uiPriority w:val="99"/>
    <w:qFormat/>
    <w:rsid w:val="00E4278C"/>
    <w:rPr>
      <w:rFonts w:ascii="Calibri" w:hAnsi="Calibri" w:cs="宋体"/>
      <w:b/>
      <w:bCs/>
      <w:kern w:val="2"/>
      <w:sz w:val="21"/>
      <w:szCs w:val="22"/>
    </w:rPr>
  </w:style>
  <w:style w:type="paragraph" w:styleId="ac">
    <w:name w:val="List Paragraph"/>
    <w:basedOn w:val="a"/>
    <w:autoRedefine/>
    <w:uiPriority w:val="99"/>
    <w:qFormat/>
    <w:rsid w:val="00E4278C"/>
  </w:style>
  <w:style w:type="paragraph" w:customStyle="1" w:styleId="2">
    <w:name w:val="修订2"/>
    <w:autoRedefine/>
    <w:hidden/>
    <w:uiPriority w:val="99"/>
    <w:semiHidden/>
    <w:qFormat/>
    <w:rsid w:val="00E4278C"/>
    <w:rPr>
      <w:rFonts w:ascii="Calibri" w:hAnsi="Calibri" w:cs="宋体"/>
      <w:kern w:val="2"/>
      <w:sz w:val="21"/>
      <w:szCs w:val="22"/>
    </w:rPr>
  </w:style>
  <w:style w:type="paragraph" w:styleId="ad">
    <w:name w:val="footnote text"/>
    <w:basedOn w:val="a"/>
    <w:link w:val="Char4"/>
    <w:rsid w:val="00D357FB"/>
    <w:pPr>
      <w:snapToGrid w:val="0"/>
      <w:jc w:val="left"/>
    </w:pPr>
    <w:rPr>
      <w:sz w:val="18"/>
      <w:szCs w:val="18"/>
    </w:rPr>
  </w:style>
  <w:style w:type="character" w:customStyle="1" w:styleId="Char4">
    <w:name w:val="脚注文本 Char"/>
    <w:basedOn w:val="a0"/>
    <w:link w:val="ad"/>
    <w:rsid w:val="00D357FB"/>
    <w:rPr>
      <w:rFonts w:ascii="Calibri" w:hAnsi="Calibri" w:cs="宋体"/>
      <w:kern w:val="2"/>
      <w:sz w:val="18"/>
      <w:szCs w:val="18"/>
    </w:rPr>
  </w:style>
  <w:style w:type="character" w:styleId="ae">
    <w:name w:val="footnote reference"/>
    <w:basedOn w:val="a0"/>
    <w:rsid w:val="00D357FB"/>
    <w:rPr>
      <w:vertAlign w:val="superscript"/>
    </w:rPr>
  </w:style>
  <w:style w:type="table" w:styleId="af">
    <w:name w:val="Table Grid"/>
    <w:basedOn w:val="a1"/>
    <w:rsid w:val="002C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unhideWhenUsed/>
    <w:rsid w:val="00E76871"/>
    <w:rPr>
      <w:rFonts w:ascii="Calibri" w:hAnsi="Calibri" w:cs="宋体"/>
      <w:kern w:val="2"/>
      <w:sz w:val="21"/>
      <w:szCs w:val="22"/>
    </w:rPr>
  </w:style>
  <w:style w:type="table" w:customStyle="1" w:styleId="TableNormal">
    <w:name w:val="Table Normal"/>
    <w:autoRedefine/>
    <w:semiHidden/>
    <w:unhideWhenUsed/>
    <w:qFormat/>
    <w:rsid w:val="002235C8"/>
    <w:rPr>
      <w:rFonts w:asciiTheme="minorHAnsi" w:eastAsiaTheme="minorEastAsia" w:hAnsiTheme="minorHAnsi" w:cstheme="minorBidi"/>
    </w:rPr>
    <w:tblPr>
      <w:tblCellMar>
        <w:top w:w="0" w:type="dxa"/>
        <w:left w:w="0" w:type="dxa"/>
        <w:bottom w:w="0" w:type="dxa"/>
        <w:right w:w="0" w:type="dxa"/>
      </w:tblCellMar>
    </w:tblPr>
  </w:style>
  <w:style w:type="paragraph" w:customStyle="1" w:styleId="TableParagraph">
    <w:name w:val="Table Paragraph"/>
    <w:basedOn w:val="a"/>
    <w:autoRedefine/>
    <w:uiPriority w:val="1"/>
    <w:qFormat/>
    <w:rsid w:val="002235C8"/>
    <w:pPr>
      <w:widowControl/>
      <w:kinsoku w:val="0"/>
      <w:autoSpaceDE w:val="0"/>
      <w:autoSpaceDN w:val="0"/>
      <w:adjustRightInd w:val="0"/>
      <w:snapToGrid w:val="0"/>
      <w:spacing w:line="240" w:lineRule="auto"/>
      <w:ind w:firstLineChars="0" w:firstLine="0"/>
      <w:jc w:val="left"/>
      <w:textAlignment w:val="baseline"/>
    </w:pPr>
    <w:rPr>
      <w:rFonts w:ascii="Arial" w:eastAsia="Arial" w:hAnsi="Arial" w:cs="Arial"/>
      <w:snapToGrid w:val="0"/>
      <w:color w:val="000000"/>
      <w:kern w:val="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2235C8"/>
    <w:pPr>
      <w:widowControl w:val="0"/>
      <w:spacing w:line="520" w:lineRule="exact"/>
      <w:ind w:firstLineChars="200" w:firstLine="42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qFormat/>
    <w:pPr>
      <w:ind w:firstLineChars="0" w:firstLine="0"/>
      <w:jc w:val="left"/>
    </w:pPr>
  </w:style>
  <w:style w:type="paragraph" w:styleId="a4">
    <w:name w:val="Body Text"/>
    <w:basedOn w:val="a"/>
    <w:autoRedefine/>
    <w:qFormat/>
    <w:pPr>
      <w:spacing w:after="120"/>
    </w:pPr>
  </w:style>
  <w:style w:type="paragraph" w:styleId="a5">
    <w:name w:val="Balloon Text"/>
    <w:basedOn w:val="a"/>
    <w:link w:val="Char0"/>
    <w:autoRedefine/>
    <w:uiPriority w:val="99"/>
    <w:qFormat/>
    <w:rPr>
      <w:sz w:val="18"/>
      <w:szCs w:val="18"/>
    </w:rPr>
  </w:style>
  <w:style w:type="paragraph" w:styleId="a6">
    <w:name w:val="footer"/>
    <w:basedOn w:val="a"/>
    <w:link w:val="Char1"/>
    <w:autoRedefine/>
    <w:uiPriority w:val="99"/>
    <w:qFormat/>
    <w:pPr>
      <w:tabs>
        <w:tab w:val="center" w:pos="4153"/>
        <w:tab w:val="right" w:pos="8306"/>
      </w:tabs>
      <w:snapToGrid w:val="0"/>
      <w:jc w:val="left"/>
    </w:pPr>
    <w:rPr>
      <w:sz w:val="18"/>
      <w:szCs w:val="18"/>
    </w:rPr>
  </w:style>
  <w:style w:type="paragraph" w:styleId="a7">
    <w:name w:val="header"/>
    <w:basedOn w:val="a"/>
    <w:link w:val="Char2"/>
    <w:autoRedefine/>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uiPriority w:val="99"/>
    <w:qFormat/>
    <w:pPr>
      <w:widowControl/>
      <w:spacing w:before="100" w:beforeAutospacing="1" w:after="100" w:afterAutospacing="1" w:line="560" w:lineRule="exact"/>
      <w:ind w:firstLine="200"/>
      <w:jc w:val="left"/>
    </w:pPr>
    <w:rPr>
      <w:rFonts w:ascii="宋体" w:hAnsi="宋体"/>
      <w:color w:val="000000"/>
      <w:kern w:val="0"/>
      <w:sz w:val="24"/>
      <w:szCs w:val="24"/>
    </w:rPr>
  </w:style>
  <w:style w:type="paragraph" w:styleId="a9">
    <w:name w:val="annotation subject"/>
    <w:basedOn w:val="a3"/>
    <w:next w:val="a3"/>
    <w:link w:val="Char3"/>
    <w:autoRedefine/>
    <w:uiPriority w:val="99"/>
    <w:qFormat/>
    <w:rPr>
      <w:b/>
      <w:bCs/>
    </w:rPr>
  </w:style>
  <w:style w:type="character" w:styleId="aa">
    <w:name w:val="Hyperlink"/>
    <w:basedOn w:val="a0"/>
    <w:autoRedefine/>
    <w:uiPriority w:val="99"/>
    <w:qFormat/>
    <w:rPr>
      <w:color w:val="0000FF"/>
      <w:u w:val="single"/>
    </w:rPr>
  </w:style>
  <w:style w:type="character" w:styleId="ab">
    <w:name w:val="annotation reference"/>
    <w:basedOn w:val="a0"/>
    <w:autoRedefine/>
    <w:uiPriority w:val="99"/>
    <w:qFormat/>
    <w:rPr>
      <w:sz w:val="21"/>
      <w:szCs w:val="21"/>
    </w:rPr>
  </w:style>
  <w:style w:type="paragraph" w:customStyle="1" w:styleId="Default">
    <w:name w:val="Default"/>
    <w:autoRedefine/>
    <w:qFormat/>
    <w:rsid w:val="00F16FCB"/>
    <w:pPr>
      <w:widowControl w:val="0"/>
      <w:autoSpaceDE w:val="0"/>
      <w:autoSpaceDN w:val="0"/>
      <w:adjustRightInd w:val="0"/>
      <w:spacing w:line="360" w:lineRule="auto"/>
      <w:ind w:firstLine="420"/>
      <w:jc w:val="both"/>
    </w:pPr>
    <w:rPr>
      <w:rFonts w:ascii="宋体" w:hAnsi="Calibri" w:cs="宋体"/>
      <w:b/>
      <w:bCs/>
      <w:color w:val="000000"/>
      <w:sz w:val="24"/>
      <w:szCs w:val="24"/>
    </w:rPr>
  </w:style>
  <w:style w:type="character" w:customStyle="1" w:styleId="Char2">
    <w:name w:val="页眉 Char"/>
    <w:basedOn w:val="a0"/>
    <w:link w:val="a7"/>
    <w:autoRedefine/>
    <w:uiPriority w:val="99"/>
    <w:qFormat/>
    <w:rPr>
      <w:sz w:val="18"/>
      <w:szCs w:val="18"/>
    </w:rPr>
  </w:style>
  <w:style w:type="character" w:customStyle="1" w:styleId="Char1">
    <w:name w:val="页脚 Char"/>
    <w:basedOn w:val="a0"/>
    <w:link w:val="a6"/>
    <w:autoRedefine/>
    <w:uiPriority w:val="99"/>
    <w:qFormat/>
    <w:rPr>
      <w:sz w:val="18"/>
      <w:szCs w:val="18"/>
    </w:rPr>
  </w:style>
  <w:style w:type="character" w:customStyle="1" w:styleId="Char0">
    <w:name w:val="批注框文本 Char"/>
    <w:basedOn w:val="a0"/>
    <w:link w:val="a5"/>
    <w:autoRedefine/>
    <w:uiPriority w:val="99"/>
    <w:qFormat/>
    <w:rPr>
      <w:kern w:val="2"/>
      <w:sz w:val="18"/>
      <w:szCs w:val="18"/>
    </w:rPr>
  </w:style>
  <w:style w:type="paragraph" w:customStyle="1" w:styleId="1">
    <w:name w:val="修订1"/>
    <w:autoRedefine/>
    <w:uiPriority w:val="99"/>
    <w:qFormat/>
    <w:rPr>
      <w:rFonts w:ascii="Calibri" w:hAnsi="Calibri" w:cs="宋体"/>
      <w:kern w:val="2"/>
      <w:sz w:val="21"/>
      <w:szCs w:val="22"/>
    </w:rPr>
  </w:style>
  <w:style w:type="character" w:customStyle="1" w:styleId="Char">
    <w:name w:val="批注文字 Char"/>
    <w:basedOn w:val="a0"/>
    <w:link w:val="a3"/>
    <w:autoRedefine/>
    <w:uiPriority w:val="99"/>
    <w:qFormat/>
    <w:rPr>
      <w:rFonts w:ascii="Calibri" w:hAnsi="Calibri" w:cs="宋体"/>
      <w:kern w:val="2"/>
      <w:sz w:val="21"/>
      <w:szCs w:val="22"/>
    </w:rPr>
  </w:style>
  <w:style w:type="character" w:customStyle="1" w:styleId="Char3">
    <w:name w:val="批注主题 Char"/>
    <w:basedOn w:val="Char"/>
    <w:link w:val="a9"/>
    <w:autoRedefine/>
    <w:uiPriority w:val="99"/>
    <w:qFormat/>
    <w:rPr>
      <w:rFonts w:ascii="Calibri" w:hAnsi="Calibri" w:cs="宋体"/>
      <w:b/>
      <w:bCs/>
      <w:kern w:val="2"/>
      <w:sz w:val="21"/>
      <w:szCs w:val="22"/>
    </w:rPr>
  </w:style>
  <w:style w:type="paragraph" w:styleId="ac">
    <w:name w:val="List Paragraph"/>
    <w:basedOn w:val="a"/>
    <w:autoRedefine/>
    <w:uiPriority w:val="99"/>
    <w:qFormat/>
  </w:style>
  <w:style w:type="paragraph" w:customStyle="1" w:styleId="2">
    <w:name w:val="修订2"/>
    <w:autoRedefine/>
    <w:hidden/>
    <w:uiPriority w:val="99"/>
    <w:semiHidden/>
    <w:qFormat/>
    <w:rPr>
      <w:rFonts w:ascii="Calibri" w:hAnsi="Calibri" w:cs="宋体"/>
      <w:kern w:val="2"/>
      <w:sz w:val="21"/>
      <w:szCs w:val="22"/>
    </w:rPr>
  </w:style>
  <w:style w:type="paragraph" w:styleId="ad">
    <w:name w:val="footnote text"/>
    <w:basedOn w:val="a"/>
    <w:link w:val="Char4"/>
    <w:rsid w:val="00D357FB"/>
    <w:pPr>
      <w:snapToGrid w:val="0"/>
      <w:jc w:val="left"/>
    </w:pPr>
    <w:rPr>
      <w:sz w:val="18"/>
      <w:szCs w:val="18"/>
    </w:rPr>
  </w:style>
  <w:style w:type="character" w:customStyle="1" w:styleId="Char4">
    <w:name w:val="脚注文本 Char"/>
    <w:basedOn w:val="a0"/>
    <w:link w:val="ad"/>
    <w:rsid w:val="00D357FB"/>
    <w:rPr>
      <w:rFonts w:ascii="Calibri" w:hAnsi="Calibri" w:cs="宋体"/>
      <w:kern w:val="2"/>
      <w:sz w:val="18"/>
      <w:szCs w:val="18"/>
    </w:rPr>
  </w:style>
  <w:style w:type="character" w:styleId="ae">
    <w:name w:val="footnote reference"/>
    <w:basedOn w:val="a0"/>
    <w:rsid w:val="00D357FB"/>
    <w:rPr>
      <w:vertAlign w:val="superscript"/>
    </w:rPr>
  </w:style>
  <w:style w:type="table" w:styleId="af">
    <w:name w:val="Table Grid"/>
    <w:basedOn w:val="a1"/>
    <w:rsid w:val="002C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unhideWhenUsed/>
    <w:rsid w:val="00E76871"/>
    <w:rPr>
      <w:rFonts w:ascii="Calibri" w:hAnsi="Calibri" w:cs="宋体"/>
      <w:kern w:val="2"/>
      <w:sz w:val="21"/>
      <w:szCs w:val="22"/>
    </w:rPr>
  </w:style>
  <w:style w:type="table" w:customStyle="1" w:styleId="TableNormal">
    <w:name w:val="Table Normal"/>
    <w:autoRedefine/>
    <w:semiHidden/>
    <w:unhideWhenUsed/>
    <w:qFormat/>
    <w:rsid w:val="002235C8"/>
    <w:rPr>
      <w:rFonts w:asciiTheme="minorHAnsi" w:eastAsiaTheme="minorEastAsia" w:hAnsiTheme="minorHAnsi" w:cstheme="minorBidi"/>
    </w:rPr>
    <w:tblPr>
      <w:tblCellMar>
        <w:top w:w="0" w:type="dxa"/>
        <w:left w:w="0" w:type="dxa"/>
        <w:bottom w:w="0" w:type="dxa"/>
        <w:right w:w="0" w:type="dxa"/>
      </w:tblCellMar>
    </w:tblPr>
  </w:style>
  <w:style w:type="paragraph" w:customStyle="1" w:styleId="TableParagraph">
    <w:name w:val="Table Paragraph"/>
    <w:basedOn w:val="a"/>
    <w:autoRedefine/>
    <w:uiPriority w:val="1"/>
    <w:qFormat/>
    <w:rsid w:val="002235C8"/>
    <w:pPr>
      <w:widowControl/>
      <w:kinsoku w:val="0"/>
      <w:autoSpaceDE w:val="0"/>
      <w:autoSpaceDN w:val="0"/>
      <w:adjustRightInd w:val="0"/>
      <w:snapToGrid w:val="0"/>
      <w:spacing w:line="240" w:lineRule="auto"/>
      <w:ind w:firstLineChars="0" w:firstLine="0"/>
      <w:jc w:val="left"/>
      <w:textAlignment w:val="baseline"/>
    </w:pPr>
    <w:rPr>
      <w:rFonts w:ascii="Arial" w:eastAsia="Arial" w:hAnsi="Arial" w:cs="Arial"/>
      <w:snapToGrid w:val="0"/>
      <w:color w:val="000000"/>
      <w:kern w:val="0"/>
      <w:szCs w:val="21"/>
      <w:lang w:eastAsia="en-US"/>
    </w:rPr>
  </w:style>
</w:styles>
</file>

<file path=word/webSettings.xml><?xml version="1.0" encoding="utf-8"?>
<w:webSettings xmlns:r="http://schemas.openxmlformats.org/officeDocument/2006/relationships" xmlns:w="http://schemas.openxmlformats.org/wordprocessingml/2006/main">
  <w:divs>
    <w:div w:id="182936209">
      <w:bodyDiv w:val="1"/>
      <w:marLeft w:val="0"/>
      <w:marRight w:val="0"/>
      <w:marTop w:val="0"/>
      <w:marBottom w:val="0"/>
      <w:divBdr>
        <w:top w:val="none" w:sz="0" w:space="0" w:color="auto"/>
        <w:left w:val="none" w:sz="0" w:space="0" w:color="auto"/>
        <w:bottom w:val="none" w:sz="0" w:space="0" w:color="auto"/>
        <w:right w:val="none" w:sz="0" w:space="0" w:color="auto"/>
      </w:divBdr>
      <w:divsChild>
        <w:div w:id="971204812">
          <w:marLeft w:val="0"/>
          <w:marRight w:val="0"/>
          <w:marTop w:val="0"/>
          <w:marBottom w:val="0"/>
          <w:divBdr>
            <w:top w:val="none" w:sz="0" w:space="0" w:color="auto"/>
            <w:left w:val="none" w:sz="0" w:space="0" w:color="auto"/>
            <w:bottom w:val="none" w:sz="0" w:space="0" w:color="auto"/>
            <w:right w:val="none" w:sz="0" w:space="0" w:color="auto"/>
          </w:divBdr>
          <w:divsChild>
            <w:div w:id="308440724">
              <w:marLeft w:val="0"/>
              <w:marRight w:val="0"/>
              <w:marTop w:val="0"/>
              <w:marBottom w:val="0"/>
              <w:divBdr>
                <w:top w:val="none" w:sz="0" w:space="0" w:color="auto"/>
                <w:left w:val="none" w:sz="0" w:space="0" w:color="auto"/>
                <w:bottom w:val="none" w:sz="0" w:space="0" w:color="auto"/>
                <w:right w:val="none" w:sz="0" w:space="0" w:color="auto"/>
              </w:divBdr>
              <w:divsChild>
                <w:div w:id="1512330533">
                  <w:marLeft w:val="0"/>
                  <w:marRight w:val="0"/>
                  <w:marTop w:val="0"/>
                  <w:marBottom w:val="0"/>
                  <w:divBdr>
                    <w:top w:val="none" w:sz="0" w:space="0" w:color="auto"/>
                    <w:left w:val="none" w:sz="0" w:space="0" w:color="auto"/>
                    <w:bottom w:val="none" w:sz="0" w:space="0" w:color="auto"/>
                    <w:right w:val="none" w:sz="0" w:space="0" w:color="auto"/>
                  </w:divBdr>
                  <w:divsChild>
                    <w:div w:id="7721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0941">
          <w:marLeft w:val="0"/>
          <w:marRight w:val="0"/>
          <w:marTop w:val="0"/>
          <w:marBottom w:val="0"/>
          <w:divBdr>
            <w:top w:val="none" w:sz="0" w:space="0" w:color="auto"/>
            <w:left w:val="none" w:sz="0" w:space="0" w:color="auto"/>
            <w:bottom w:val="none" w:sz="0" w:space="0" w:color="auto"/>
            <w:right w:val="none" w:sz="0" w:space="0" w:color="auto"/>
          </w:divBdr>
          <w:divsChild>
            <w:div w:id="1520269491">
              <w:marLeft w:val="0"/>
              <w:marRight w:val="0"/>
              <w:marTop w:val="0"/>
              <w:marBottom w:val="0"/>
              <w:divBdr>
                <w:top w:val="none" w:sz="0" w:space="0" w:color="auto"/>
                <w:left w:val="none" w:sz="0" w:space="0" w:color="auto"/>
                <w:bottom w:val="none" w:sz="0" w:space="0" w:color="auto"/>
                <w:right w:val="none" w:sz="0" w:space="0" w:color="auto"/>
              </w:divBdr>
              <w:divsChild>
                <w:div w:id="2146460364">
                  <w:marLeft w:val="0"/>
                  <w:marRight w:val="0"/>
                  <w:marTop w:val="0"/>
                  <w:marBottom w:val="0"/>
                  <w:divBdr>
                    <w:top w:val="none" w:sz="0" w:space="0" w:color="auto"/>
                    <w:left w:val="none" w:sz="0" w:space="0" w:color="auto"/>
                    <w:bottom w:val="none" w:sz="0" w:space="0" w:color="auto"/>
                    <w:right w:val="none" w:sz="0" w:space="0" w:color="auto"/>
                  </w:divBdr>
                  <w:divsChild>
                    <w:div w:id="2066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18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643E-3220-4520-BD4D-D626A5F123D1}">
  <ds:schemaRefs>
    <ds:schemaRef ds:uri="http://www.wps.cn/android/officeDocument/2013/mofficeCustomData"/>
  </ds:schemaRefs>
</ds:datastoreItem>
</file>

<file path=customXml/itemProps2.xml><?xml version="1.0" encoding="utf-8"?>
<ds:datastoreItem xmlns:ds="http://schemas.openxmlformats.org/officeDocument/2006/customXml" ds:itemID="{5C27ECE4-108E-4466-94BE-A69A8A35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1361</Characters>
  <Application>Microsoft Office Word</Application>
  <DocSecurity>4</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王亮</dc:creator>
  <cp:lastModifiedBy>ZHONGM</cp:lastModifiedBy>
  <cp:revision>2</cp:revision>
  <cp:lastPrinted>2024-05-13T13:32:00Z</cp:lastPrinted>
  <dcterms:created xsi:type="dcterms:W3CDTF">2024-05-13T16:01:00Z</dcterms:created>
  <dcterms:modified xsi:type="dcterms:W3CDTF">2024-05-13T16:01:00Z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FEF998D5CCFF4B92905C185386BECFC5_13</vt:lpwstr>
  </property>
</Properties>
</file>