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8B" w:rsidRDefault="00B37268">
      <w:pPr>
        <w:jc w:val="center"/>
        <w:rPr>
          <w:rFonts w:ascii="宋体" w:eastAsia="宋体" w:hAnsi="宋体" w:cs="Times New Roman"/>
          <w:b/>
          <w:sz w:val="32"/>
          <w:szCs w:val="48"/>
        </w:rPr>
      </w:pPr>
      <w:r>
        <w:rPr>
          <w:rFonts w:ascii="宋体" w:eastAsia="宋体" w:hAnsi="宋体" w:cs="Times New Roman" w:hint="eastAsia"/>
          <w:b/>
          <w:sz w:val="32"/>
          <w:szCs w:val="48"/>
        </w:rPr>
        <w:t>上海东方证券资产管理有限公司</w:t>
      </w:r>
    </w:p>
    <w:p w:rsidR="00783D8B" w:rsidRDefault="00B37268">
      <w:pPr>
        <w:jc w:val="center"/>
        <w:rPr>
          <w:rFonts w:ascii="宋体" w:eastAsia="宋体" w:hAnsi="宋体" w:cs="Times New Roman"/>
          <w:b/>
          <w:sz w:val="32"/>
          <w:szCs w:val="48"/>
        </w:rPr>
      </w:pPr>
      <w:r>
        <w:rPr>
          <w:rFonts w:ascii="宋体" w:eastAsia="宋体" w:hAnsi="宋体" w:cs="Times New Roman" w:hint="eastAsia"/>
          <w:b/>
          <w:sz w:val="32"/>
          <w:szCs w:val="48"/>
        </w:rPr>
        <w:t>关于旗下部分基金</w:t>
      </w:r>
      <w:r>
        <w:rPr>
          <w:rFonts w:ascii="宋体" w:eastAsia="宋体" w:hAnsi="宋体" w:cs="Times New Roman"/>
          <w:b/>
          <w:sz w:val="32"/>
          <w:szCs w:val="48"/>
        </w:rPr>
        <w:t>2024</w:t>
      </w:r>
      <w:r>
        <w:rPr>
          <w:rFonts w:ascii="宋体" w:eastAsia="宋体" w:hAnsi="宋体" w:cs="Times New Roman" w:hint="eastAsia"/>
          <w:b/>
          <w:sz w:val="32"/>
          <w:szCs w:val="48"/>
        </w:rPr>
        <w:t>年非港股通交易日暂停申购、赎回等业务的公告</w:t>
      </w:r>
    </w:p>
    <w:p w:rsidR="00783D8B" w:rsidRDefault="00783D8B">
      <w:pPr>
        <w:spacing w:line="360" w:lineRule="auto"/>
        <w:ind w:firstLineChars="200" w:firstLine="420"/>
        <w:jc w:val="left"/>
        <w:rPr>
          <w:rFonts w:ascii="Calibri" w:eastAsia="宋体" w:hAnsi="Calibri" w:cs="Times New Roman"/>
          <w:szCs w:val="21"/>
        </w:rPr>
      </w:pP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根据上海东方证券资产管理有限公司（以下简称本公司或管理人）旗下部分基金的基金合同及招募说明书的约定，投资者在开放日办理基金份额的申购和赎回，具体办理时间为上海证券交易所、深圳证券交易所的正常交易日的交易时间，若该工作日为非港股通交易日，则该基金不开放或基金管理人有权决定该基金是否开放。本公司已于2</w:t>
      </w:r>
      <w:r>
        <w:rPr>
          <w:rFonts w:ascii="宋体" w:eastAsia="宋体" w:hAnsi="宋体" w:cs="Times New Roman"/>
          <w:sz w:val="24"/>
          <w:szCs w:val="24"/>
        </w:rPr>
        <w:t>024</w:t>
      </w:r>
      <w:r>
        <w:rPr>
          <w:rFonts w:ascii="宋体" w:eastAsia="宋体" w:hAnsi="宋体" w:cs="Times New Roman" w:hint="eastAsia"/>
          <w:sz w:val="24"/>
          <w:szCs w:val="24"/>
        </w:rPr>
        <w:t>年1月5日发布了《上海东方证券资产管理有限公司关于旗下部分基金2024年非港股通交易日暂停申购、赎回等业务的公告》，由于合同约定“基金管理人有权决定该基金是否开放”的基金列表有所调整，现将2024年非港股通交易日部分基金暂停办理申购、赎回等业务的相关事宜更新如下：</w:t>
      </w:r>
    </w:p>
    <w:p w:rsidR="00783D8B" w:rsidRDefault="00783D8B">
      <w:pPr>
        <w:spacing w:line="360" w:lineRule="auto"/>
        <w:ind w:firstLineChars="200" w:firstLine="480"/>
        <w:rPr>
          <w:rFonts w:ascii="宋体" w:eastAsia="宋体" w:hAnsi="宋体" w:cs="Times New Roman"/>
          <w:sz w:val="24"/>
          <w:szCs w:val="24"/>
        </w:rPr>
      </w:pPr>
    </w:p>
    <w:p w:rsidR="00783D8B" w:rsidRDefault="00B37268">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一、2024年非港股通交易日</w:t>
      </w: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根据上海证券交易所《关于2023年岁末及2024年沪港通下港股通交易日安排的通知》、深圳证券交易所《关于2023年底及2024年深港通下的港股通交易日有关安排的通知》，2024年非港股通交易日如下：</w:t>
      </w:r>
      <w:r>
        <w:rPr>
          <w:rFonts w:ascii="宋体" w:eastAsia="宋体" w:hAnsi="宋体" w:cs="Times New Roman"/>
          <w:sz w:val="24"/>
          <w:szCs w:val="24"/>
        </w:rPr>
        <w:t xml:space="preserve"> </w:t>
      </w:r>
    </w:p>
    <w:tbl>
      <w:tblPr>
        <w:tblStyle w:val="a8"/>
        <w:tblW w:w="0" w:type="auto"/>
        <w:jc w:val="center"/>
        <w:tblLook w:val="04A0"/>
      </w:tblPr>
      <w:tblGrid>
        <w:gridCol w:w="8296"/>
      </w:tblGrid>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3</w:t>
            </w:r>
            <w:r>
              <w:rPr>
                <w:rFonts w:ascii="宋体" w:eastAsia="宋体" w:hAnsi="宋体" w:cs="Times New Roman" w:hint="eastAsia"/>
                <w:sz w:val="24"/>
                <w:szCs w:val="24"/>
              </w:rPr>
              <w:t>月</w:t>
            </w:r>
            <w:r>
              <w:rPr>
                <w:rFonts w:ascii="宋体" w:eastAsia="宋体" w:hAnsi="宋体" w:cs="Times New Roman"/>
                <w:sz w:val="24"/>
                <w:szCs w:val="24"/>
              </w:rPr>
              <w:t>29</w:t>
            </w:r>
            <w:r>
              <w:rPr>
                <w:rFonts w:ascii="宋体" w:eastAsia="宋体" w:hAnsi="宋体" w:cs="Times New Roman" w:hint="eastAsia"/>
                <w:sz w:val="24"/>
                <w:szCs w:val="24"/>
              </w:rPr>
              <w:t>日、</w:t>
            </w:r>
            <w:r>
              <w:rPr>
                <w:rFonts w:ascii="宋体" w:eastAsia="宋体" w:hAnsi="宋体" w:cs="Times New Roman"/>
                <w:sz w:val="24"/>
                <w:szCs w:val="24"/>
              </w:rPr>
              <w:t>4</w:t>
            </w:r>
            <w:r>
              <w:rPr>
                <w:rFonts w:ascii="宋体" w:eastAsia="宋体" w:hAnsi="宋体" w:cs="Times New Roman" w:hint="eastAsia"/>
                <w:sz w:val="24"/>
                <w:szCs w:val="24"/>
              </w:rPr>
              <w:t>月</w:t>
            </w:r>
            <w:r>
              <w:rPr>
                <w:rFonts w:ascii="宋体" w:eastAsia="宋体" w:hAnsi="宋体" w:cs="Times New Roman"/>
                <w:sz w:val="24"/>
                <w:szCs w:val="24"/>
              </w:rPr>
              <w:t>1</w:t>
            </w:r>
            <w:r>
              <w:rPr>
                <w:rFonts w:ascii="宋体" w:eastAsia="宋体" w:hAnsi="宋体" w:cs="Times New Roman" w:hint="eastAsia"/>
                <w:sz w:val="24"/>
                <w:szCs w:val="24"/>
              </w:rPr>
              <w:t>日</w:t>
            </w:r>
          </w:p>
        </w:tc>
      </w:tr>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5</w:t>
            </w:r>
            <w:r>
              <w:rPr>
                <w:rFonts w:ascii="宋体" w:eastAsia="宋体" w:hAnsi="宋体" w:cs="Times New Roman" w:hint="eastAsia"/>
                <w:sz w:val="24"/>
                <w:szCs w:val="24"/>
              </w:rPr>
              <w:t>月</w:t>
            </w:r>
            <w:r>
              <w:rPr>
                <w:rFonts w:ascii="宋体" w:eastAsia="宋体" w:hAnsi="宋体" w:cs="Times New Roman"/>
                <w:sz w:val="24"/>
                <w:szCs w:val="24"/>
              </w:rPr>
              <w:t>15</w:t>
            </w:r>
            <w:r>
              <w:rPr>
                <w:rFonts w:ascii="宋体" w:eastAsia="宋体" w:hAnsi="宋体" w:cs="Times New Roman" w:hint="eastAsia"/>
                <w:sz w:val="24"/>
                <w:szCs w:val="24"/>
              </w:rPr>
              <w:t>日</w:t>
            </w:r>
          </w:p>
        </w:tc>
      </w:tr>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7</w:t>
            </w:r>
            <w:r>
              <w:rPr>
                <w:rFonts w:ascii="宋体" w:eastAsia="宋体" w:hAnsi="宋体" w:cs="Times New Roman" w:hint="eastAsia"/>
                <w:sz w:val="24"/>
                <w:szCs w:val="24"/>
              </w:rPr>
              <w:t>月</w:t>
            </w:r>
            <w:r>
              <w:rPr>
                <w:rFonts w:ascii="宋体" w:eastAsia="宋体" w:hAnsi="宋体" w:cs="Times New Roman"/>
                <w:sz w:val="24"/>
                <w:szCs w:val="24"/>
              </w:rPr>
              <w:t>1</w:t>
            </w:r>
            <w:r>
              <w:rPr>
                <w:rFonts w:ascii="宋体" w:eastAsia="宋体" w:hAnsi="宋体" w:cs="Times New Roman" w:hint="eastAsia"/>
                <w:sz w:val="24"/>
                <w:szCs w:val="24"/>
              </w:rPr>
              <w:t>日</w:t>
            </w:r>
          </w:p>
        </w:tc>
      </w:tr>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9</w:t>
            </w:r>
            <w:r>
              <w:rPr>
                <w:rFonts w:ascii="宋体" w:eastAsia="宋体" w:hAnsi="宋体" w:cs="Times New Roman" w:hint="eastAsia"/>
                <w:sz w:val="24"/>
                <w:szCs w:val="24"/>
              </w:rPr>
              <w:t>月</w:t>
            </w:r>
            <w:r>
              <w:rPr>
                <w:rFonts w:ascii="宋体" w:eastAsia="宋体" w:hAnsi="宋体" w:cs="Times New Roman"/>
                <w:sz w:val="24"/>
                <w:szCs w:val="24"/>
              </w:rPr>
              <w:t>18</w:t>
            </w:r>
            <w:r>
              <w:rPr>
                <w:rFonts w:ascii="宋体" w:eastAsia="宋体" w:hAnsi="宋体" w:cs="Times New Roman" w:hint="eastAsia"/>
                <w:sz w:val="24"/>
                <w:szCs w:val="24"/>
              </w:rPr>
              <w:t>日</w:t>
            </w:r>
          </w:p>
        </w:tc>
      </w:tr>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10</w:t>
            </w:r>
            <w:r>
              <w:rPr>
                <w:rFonts w:ascii="宋体" w:eastAsia="宋体" w:hAnsi="宋体" w:cs="Times New Roman" w:hint="eastAsia"/>
                <w:sz w:val="24"/>
                <w:szCs w:val="24"/>
              </w:rPr>
              <w:t>月</w:t>
            </w:r>
            <w:r>
              <w:rPr>
                <w:rFonts w:ascii="宋体" w:eastAsia="宋体" w:hAnsi="宋体" w:cs="Times New Roman"/>
                <w:sz w:val="24"/>
                <w:szCs w:val="24"/>
              </w:rPr>
              <w:t>11</w:t>
            </w:r>
            <w:r>
              <w:rPr>
                <w:rFonts w:ascii="宋体" w:eastAsia="宋体" w:hAnsi="宋体" w:cs="Times New Roman" w:hint="eastAsia"/>
                <w:sz w:val="24"/>
                <w:szCs w:val="24"/>
              </w:rPr>
              <w:t>日</w:t>
            </w:r>
          </w:p>
        </w:tc>
      </w:tr>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12</w:t>
            </w:r>
            <w:r>
              <w:rPr>
                <w:rFonts w:ascii="宋体" w:eastAsia="宋体" w:hAnsi="宋体" w:cs="Times New Roman" w:hint="eastAsia"/>
                <w:sz w:val="24"/>
                <w:szCs w:val="24"/>
              </w:rPr>
              <w:t>月</w:t>
            </w:r>
            <w:r>
              <w:rPr>
                <w:rFonts w:ascii="宋体" w:eastAsia="宋体" w:hAnsi="宋体" w:cs="Times New Roman"/>
                <w:sz w:val="24"/>
                <w:szCs w:val="24"/>
              </w:rPr>
              <w:t>25</w:t>
            </w:r>
            <w:r>
              <w:rPr>
                <w:rFonts w:ascii="宋体" w:eastAsia="宋体" w:hAnsi="宋体" w:cs="Times New Roman" w:hint="eastAsia"/>
                <w:sz w:val="24"/>
                <w:szCs w:val="24"/>
              </w:rPr>
              <w:t>日、</w:t>
            </w:r>
            <w:r>
              <w:rPr>
                <w:rFonts w:ascii="宋体" w:eastAsia="宋体" w:hAnsi="宋体" w:cs="Times New Roman"/>
                <w:sz w:val="24"/>
                <w:szCs w:val="24"/>
              </w:rPr>
              <w:t>12</w:t>
            </w:r>
            <w:r>
              <w:rPr>
                <w:rFonts w:ascii="宋体" w:eastAsia="宋体" w:hAnsi="宋体" w:cs="Times New Roman" w:hint="eastAsia"/>
                <w:sz w:val="24"/>
                <w:szCs w:val="24"/>
              </w:rPr>
              <w:t>月</w:t>
            </w:r>
            <w:r>
              <w:rPr>
                <w:rFonts w:ascii="宋体" w:eastAsia="宋体" w:hAnsi="宋体" w:cs="Times New Roman"/>
                <w:sz w:val="24"/>
                <w:szCs w:val="24"/>
              </w:rPr>
              <w:t>26</w:t>
            </w:r>
            <w:r>
              <w:rPr>
                <w:rFonts w:ascii="宋体" w:eastAsia="宋体" w:hAnsi="宋体" w:cs="Times New Roman" w:hint="eastAsia"/>
                <w:sz w:val="24"/>
                <w:szCs w:val="24"/>
              </w:rPr>
              <w:t>日</w:t>
            </w:r>
          </w:p>
        </w:tc>
      </w:tr>
    </w:tbl>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注：</w:t>
      </w:r>
    </w:p>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上述中国香港证券市场节假日/非港股通交易日已剔除和国内双休日及法定节假日重合的日期。</w:t>
      </w:r>
    </w:p>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待交易所关于202</w:t>
      </w:r>
      <w:r>
        <w:rPr>
          <w:rFonts w:ascii="宋体" w:eastAsia="宋体" w:hAnsi="宋体" w:cs="Times New Roman"/>
          <w:sz w:val="24"/>
          <w:szCs w:val="24"/>
        </w:rPr>
        <w:t>5</w:t>
      </w:r>
      <w:r>
        <w:rPr>
          <w:rFonts w:ascii="宋体" w:eastAsia="宋体" w:hAnsi="宋体" w:cs="Times New Roman" w:hint="eastAsia"/>
          <w:sz w:val="24"/>
          <w:szCs w:val="24"/>
        </w:rPr>
        <w:t>年节假日放假和休市安排出台后，如2024年</w:t>
      </w:r>
      <w:r>
        <w:rPr>
          <w:rFonts w:ascii="宋体" w:eastAsia="宋体" w:hAnsi="宋体" w:cs="Times New Roman"/>
          <w:sz w:val="24"/>
          <w:szCs w:val="24"/>
        </w:rPr>
        <w:t>12月30</w:t>
      </w:r>
      <w:r>
        <w:rPr>
          <w:rFonts w:ascii="宋体" w:eastAsia="宋体" w:hAnsi="宋体" w:cs="Times New Roman" w:hint="eastAsia"/>
          <w:sz w:val="24"/>
          <w:szCs w:val="24"/>
        </w:rPr>
        <w:t>日、</w:t>
      </w:r>
      <w:r>
        <w:rPr>
          <w:rFonts w:ascii="宋体" w:eastAsia="宋体" w:hAnsi="宋体" w:cs="Times New Roman"/>
          <w:sz w:val="24"/>
          <w:szCs w:val="24"/>
        </w:rPr>
        <w:lastRenderedPageBreak/>
        <w:t>12月31</w:t>
      </w:r>
      <w:r>
        <w:rPr>
          <w:rFonts w:ascii="宋体" w:eastAsia="宋体" w:hAnsi="宋体" w:cs="Times New Roman" w:hint="eastAsia"/>
          <w:sz w:val="24"/>
          <w:szCs w:val="24"/>
        </w:rPr>
        <w:t>日为非港股通交易日的，本公司将另行通知，否则本公司不再通知。</w:t>
      </w:r>
    </w:p>
    <w:p w:rsidR="00783D8B" w:rsidRDefault="00783D8B">
      <w:pPr>
        <w:spacing w:line="360" w:lineRule="auto"/>
        <w:ind w:firstLineChars="200" w:firstLine="480"/>
        <w:rPr>
          <w:rFonts w:ascii="宋体" w:eastAsia="宋体" w:hAnsi="宋体" w:cs="Times New Roman"/>
          <w:sz w:val="24"/>
          <w:szCs w:val="24"/>
        </w:rPr>
      </w:pPr>
    </w:p>
    <w:p w:rsidR="00783D8B" w:rsidRDefault="00B37268">
      <w:pPr>
        <w:spacing w:line="360" w:lineRule="auto"/>
        <w:ind w:firstLineChars="200" w:firstLine="482"/>
        <w:jc w:val="left"/>
        <w:rPr>
          <w:rFonts w:ascii="宋体" w:eastAsia="宋体" w:hAnsi="宋体" w:cs="Times New Roman"/>
          <w:b/>
          <w:sz w:val="24"/>
          <w:szCs w:val="24"/>
        </w:rPr>
      </w:pPr>
      <w:r>
        <w:rPr>
          <w:rFonts w:ascii="宋体" w:eastAsia="宋体" w:hAnsi="宋体" w:cs="Times New Roman" w:hint="eastAsia"/>
          <w:b/>
          <w:sz w:val="24"/>
          <w:szCs w:val="24"/>
        </w:rPr>
        <w:t>二、适用基金范围及暂停开放安排</w:t>
      </w:r>
    </w:p>
    <w:p w:rsidR="00783D8B" w:rsidRDefault="00B3726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（一）适用基金范围</w:t>
      </w:r>
    </w:p>
    <w:p w:rsidR="00783D8B" w:rsidRDefault="00B3726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Pr>
          <w:rFonts w:ascii="宋体" w:eastAsia="宋体" w:hAnsi="宋体" w:cs="Times New Roman" w:hint="eastAsia"/>
          <w:sz w:val="24"/>
          <w:szCs w:val="24"/>
        </w:rPr>
        <w:t>合同约定不开放的基金</w:t>
      </w:r>
    </w:p>
    <w:p w:rsidR="00783D8B" w:rsidRDefault="00B3726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根据下列基金基金合同的约定，申购、赎回等业务具体办理时间为上海证券交易所、深圳证券交易所的正常交易日的交易时间，若该工作日为非港股通交易日，则该基金不开放。</w:t>
      </w:r>
    </w:p>
    <w:tbl>
      <w:tblPr>
        <w:tblW w:w="10277" w:type="dxa"/>
        <w:jc w:val="center"/>
        <w:tblLook w:val="04A0"/>
      </w:tblPr>
      <w:tblGrid>
        <w:gridCol w:w="456"/>
        <w:gridCol w:w="6485"/>
        <w:gridCol w:w="3336"/>
      </w:tblGrid>
      <w:tr w:rsidR="00783D8B" w:rsidTr="00B37268">
        <w:trPr>
          <w:trHeight w:val="280"/>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序号</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基金名称</w:t>
            </w:r>
          </w:p>
        </w:tc>
        <w:tc>
          <w:tcPr>
            <w:tcW w:w="3336" w:type="dxa"/>
            <w:tcBorders>
              <w:top w:val="single" w:sz="4" w:space="0" w:color="auto"/>
              <w:left w:val="nil"/>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基金代码</w:t>
            </w:r>
          </w:p>
        </w:tc>
      </w:tr>
      <w:tr w:rsidR="00783D8B"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w:t>
            </w:r>
          </w:p>
        </w:tc>
        <w:tc>
          <w:tcPr>
            <w:tcW w:w="6485"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东方红睿轩三年定期开放灵活配置混合型证券投资基金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169103</w:t>
            </w:r>
          </w:p>
        </w:tc>
      </w:tr>
      <w:tr w:rsidR="00783D8B"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p>
        </w:tc>
        <w:tc>
          <w:tcPr>
            <w:tcW w:w="6485"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东方红沪港深灵活配置混合型证券投资基金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002803</w:t>
            </w:r>
          </w:p>
        </w:tc>
      </w:tr>
      <w:tr w:rsidR="00783D8B"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3</w:t>
            </w:r>
          </w:p>
        </w:tc>
        <w:tc>
          <w:tcPr>
            <w:tcW w:w="6485"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东方红睿华沪港深灵活配置混合型证券投资基金（LOF）A/C</w:t>
            </w:r>
          </w:p>
        </w:tc>
        <w:tc>
          <w:tcPr>
            <w:tcW w:w="333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169105</w:t>
            </w:r>
            <w:r>
              <w:rPr>
                <w:rFonts w:ascii="宋体" w:eastAsia="宋体" w:hAnsi="宋体" w:cs="Times New Roman"/>
                <w:sz w:val="24"/>
                <w:szCs w:val="24"/>
              </w:rPr>
              <w:t>/018949</w:t>
            </w:r>
          </w:p>
        </w:tc>
      </w:tr>
      <w:tr w:rsidR="00783D8B"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4</w:t>
            </w:r>
          </w:p>
        </w:tc>
        <w:tc>
          <w:tcPr>
            <w:tcW w:w="6485"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东方红战略精选沪港深混合型证券投资基金A/C</w:t>
            </w:r>
          </w:p>
        </w:tc>
        <w:tc>
          <w:tcPr>
            <w:tcW w:w="333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003044/003045</w:t>
            </w:r>
          </w:p>
        </w:tc>
      </w:tr>
      <w:tr w:rsidR="00783D8B"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5</w:t>
            </w:r>
          </w:p>
        </w:tc>
        <w:tc>
          <w:tcPr>
            <w:tcW w:w="6485"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东方红优享红利沪港深灵活配置混合型证券投资基金A/C</w:t>
            </w:r>
          </w:p>
        </w:tc>
        <w:tc>
          <w:tcPr>
            <w:tcW w:w="333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003396</w:t>
            </w:r>
            <w:r>
              <w:rPr>
                <w:rFonts w:ascii="宋体" w:eastAsia="宋体" w:hAnsi="宋体" w:cs="Times New Roman"/>
                <w:sz w:val="24"/>
                <w:szCs w:val="24"/>
              </w:rPr>
              <w:t>/017536</w:t>
            </w:r>
          </w:p>
        </w:tc>
      </w:tr>
      <w:tr w:rsidR="00783D8B"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6</w:t>
            </w:r>
          </w:p>
        </w:tc>
        <w:tc>
          <w:tcPr>
            <w:tcW w:w="6485"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东方红智逸沪港深定期开放混合型发起式证券投资基金</w:t>
            </w:r>
          </w:p>
        </w:tc>
        <w:tc>
          <w:tcPr>
            <w:tcW w:w="333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004278</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7</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东方红目标优选三年定期开放混合型证券投资基金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501053</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8</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东方红睿泽三年定期开放灵活配置混合型证券投资基金A/C</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501054/011032</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9</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东方红创新优选三年定期开放混合型证券投资基金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169106</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10</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东方红配置精选混合型证券投资基金A/C</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005974/005975</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11</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东方红核心优选一年定期开放混合型证券投资基金A/C</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006353/010292</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12</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东方红恒元五年定期开放灵活配置混合型证券投资基金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501066</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13</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东方红睿阳三年定期开放灵活配置混合型证券投资基金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169102</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14</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东方红睿满沪港深灵活配置混合</w:t>
            </w:r>
            <w:bookmarkStart w:id="0" w:name="_GoBack"/>
            <w:bookmarkEnd w:id="0"/>
            <w:r>
              <w:rPr>
                <w:rFonts w:ascii="宋体" w:eastAsia="宋体" w:hAnsi="宋体" w:cs="Times New Roman" w:hint="eastAsia"/>
                <w:sz w:val="24"/>
                <w:szCs w:val="24"/>
              </w:rPr>
              <w:t>型证券投资基金（LOF）A/C</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169104</w:t>
            </w:r>
            <w:r>
              <w:rPr>
                <w:rFonts w:ascii="宋体" w:eastAsia="宋体" w:hAnsi="宋体" w:cs="Times New Roman"/>
                <w:sz w:val="24"/>
                <w:szCs w:val="24"/>
              </w:rPr>
              <w:t>/018948</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15</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东方红启元三年持有期混合型证券投资基金A/B</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910007/007887</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16</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东方红安鑫甄选一年持有期混合型证券投资基金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008770</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17</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东方红品质优选两年定期开放混合型证券投资基金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008263</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18</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东方红恒阳五年定期开放混合型证券投资基金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169107</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19</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东方红匠心甄选一年持有期混合型证券投资基金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008990</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lastRenderedPageBreak/>
              <w:t>20</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东方红均衡优选两年定期开放混合型证券投资基金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169108</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21</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东方红启东三年持有期混合型证券投资基金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008985</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22</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东方红智远三年持有期混合型证券投资基金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009576</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23</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东方红优质甄选一年持有期混合型证券投资基金A</w:t>
            </w:r>
            <w:r>
              <w:rPr>
                <w:rFonts w:ascii="宋体" w:eastAsia="宋体" w:hAnsi="宋体" w:cs="Times New Roman"/>
                <w:sz w:val="24"/>
                <w:szCs w:val="24"/>
              </w:rPr>
              <w:t>/</w:t>
            </w:r>
            <w:r>
              <w:rPr>
                <w:rFonts w:ascii="宋体" w:eastAsia="宋体" w:hAnsi="宋体" w:cs="Times New Roman" w:hint="eastAsia"/>
                <w:sz w:val="24"/>
                <w:szCs w:val="24"/>
              </w:rPr>
              <w:t>C</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009725/</w:t>
            </w:r>
            <w:r>
              <w:rPr>
                <w:rFonts w:ascii="宋体" w:eastAsia="宋体" w:hAnsi="宋体" w:cs="Times New Roman"/>
                <w:sz w:val="24"/>
                <w:szCs w:val="24"/>
              </w:rPr>
              <w:t>013785</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24</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东方红招盈甄选一年持有期混合型证券投资基金A</w:t>
            </w:r>
            <w:r>
              <w:rPr>
                <w:rFonts w:ascii="宋体" w:eastAsia="宋体" w:hAnsi="宋体" w:cs="Times New Roman"/>
                <w:sz w:val="24"/>
                <w:szCs w:val="24"/>
              </w:rPr>
              <w:t>/C</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009806</w:t>
            </w:r>
            <w:r>
              <w:rPr>
                <w:rFonts w:ascii="宋体" w:eastAsia="宋体" w:hAnsi="宋体" w:cs="Times New Roman"/>
                <w:sz w:val="24"/>
                <w:szCs w:val="24"/>
              </w:rPr>
              <w:t>/009807</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25</w:t>
            </w:r>
          </w:p>
        </w:tc>
        <w:tc>
          <w:tcPr>
            <w:tcW w:w="6485"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东方红明鉴优选两年定期开放混合型证券投资基金</w:t>
            </w:r>
          </w:p>
        </w:tc>
        <w:tc>
          <w:tcPr>
            <w:tcW w:w="3336" w:type="dxa"/>
            <w:tcBorders>
              <w:top w:val="nil"/>
              <w:left w:val="nil"/>
              <w:bottom w:val="single" w:sz="4" w:space="0" w:color="auto"/>
              <w:right w:val="single" w:sz="4" w:space="0" w:color="auto"/>
            </w:tcBorders>
            <w:shd w:val="clear" w:color="auto" w:fill="auto"/>
            <w:noWrap/>
            <w:vAlign w:val="bottom"/>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009842</w:t>
            </w:r>
          </w:p>
        </w:tc>
      </w:tr>
      <w:tr w:rsidR="00B37268" w:rsidTr="00B37268">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hint="eastAsia"/>
                <w:sz w:val="24"/>
                <w:szCs w:val="24"/>
              </w:rPr>
              <w:t>26</w:t>
            </w:r>
          </w:p>
        </w:tc>
        <w:tc>
          <w:tcPr>
            <w:tcW w:w="6485" w:type="dxa"/>
            <w:tcBorders>
              <w:top w:val="nil"/>
              <w:left w:val="nil"/>
              <w:bottom w:val="single" w:sz="4" w:space="0" w:color="auto"/>
              <w:right w:val="single" w:sz="4" w:space="0" w:color="auto"/>
            </w:tcBorders>
            <w:shd w:val="clear" w:color="auto" w:fill="auto"/>
            <w:noWrap/>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sz w:val="24"/>
                <w:szCs w:val="24"/>
              </w:rPr>
              <w:t>东方红</w:t>
            </w:r>
            <w:r>
              <w:rPr>
                <w:rFonts w:ascii="宋体" w:eastAsia="宋体" w:hAnsi="宋体" w:cs="Times New Roman" w:hint="eastAsia"/>
                <w:sz w:val="24"/>
                <w:szCs w:val="24"/>
              </w:rPr>
              <w:t>智享三年</w:t>
            </w:r>
            <w:r>
              <w:rPr>
                <w:rFonts w:ascii="宋体" w:eastAsia="宋体" w:hAnsi="宋体" w:cs="Times New Roman"/>
                <w:sz w:val="24"/>
                <w:szCs w:val="24"/>
              </w:rPr>
              <w:t>持有期混合型</w:t>
            </w:r>
            <w:r>
              <w:rPr>
                <w:rFonts w:ascii="宋体" w:eastAsia="宋体" w:hAnsi="宋体" w:cs="Times New Roman" w:hint="eastAsia"/>
                <w:sz w:val="24"/>
                <w:szCs w:val="24"/>
              </w:rPr>
              <w:t>证券投资基金A</w:t>
            </w:r>
            <w:r>
              <w:rPr>
                <w:rFonts w:ascii="宋体" w:eastAsia="宋体" w:hAnsi="宋体" w:cs="Times New Roman"/>
                <w:sz w:val="24"/>
                <w:szCs w:val="24"/>
              </w:rPr>
              <w:t>/C</w:t>
            </w:r>
          </w:p>
        </w:tc>
        <w:tc>
          <w:tcPr>
            <w:tcW w:w="3336" w:type="dxa"/>
            <w:tcBorders>
              <w:top w:val="nil"/>
              <w:left w:val="nil"/>
              <w:bottom w:val="single" w:sz="4" w:space="0" w:color="auto"/>
              <w:right w:val="single" w:sz="4" w:space="0" w:color="auto"/>
            </w:tcBorders>
            <w:shd w:val="clear" w:color="auto" w:fill="auto"/>
            <w:noWrap/>
          </w:tcPr>
          <w:p w:rsidR="00B37268" w:rsidRDefault="00B37268" w:rsidP="00B37268">
            <w:pPr>
              <w:spacing w:line="360" w:lineRule="auto"/>
              <w:rPr>
                <w:rFonts w:ascii="宋体" w:eastAsia="宋体" w:hAnsi="宋体" w:cs="Times New Roman"/>
                <w:sz w:val="24"/>
                <w:szCs w:val="24"/>
              </w:rPr>
            </w:pPr>
            <w:r>
              <w:rPr>
                <w:rFonts w:ascii="宋体" w:eastAsia="宋体" w:hAnsi="宋体" w:cs="Times New Roman"/>
                <w:sz w:val="24"/>
                <w:szCs w:val="24"/>
              </w:rPr>
              <w:t>019773/019774</w:t>
            </w:r>
          </w:p>
        </w:tc>
      </w:tr>
    </w:tbl>
    <w:p w:rsidR="00783D8B" w:rsidRDefault="00783D8B">
      <w:pPr>
        <w:spacing w:line="360" w:lineRule="auto"/>
        <w:rPr>
          <w:rFonts w:ascii="宋体" w:eastAsia="宋体" w:hAnsi="宋体" w:cs="Times New Roman"/>
          <w:sz w:val="24"/>
          <w:szCs w:val="24"/>
        </w:rPr>
      </w:pPr>
    </w:p>
    <w:p w:rsidR="00783D8B" w:rsidRDefault="00B3726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2.基金管理人决定不开放的基金</w:t>
      </w:r>
    </w:p>
    <w:p w:rsidR="00783D8B" w:rsidRDefault="00B3726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根据下列基金基金合同的约定，申购、赎回等业务具体办理时间为上海证券交易所、深圳证券交易所的正常交易日的交易时间，若该工作日为非港股通交易日，基金管理人有权决定该基金是否开放。其中，基金管理人决定不开放的基金如下：</w:t>
      </w:r>
    </w:p>
    <w:tbl>
      <w:tblPr>
        <w:tblW w:w="9944" w:type="dxa"/>
        <w:tblInd w:w="-289" w:type="dxa"/>
        <w:tblLook w:val="04A0"/>
      </w:tblPr>
      <w:tblGrid>
        <w:gridCol w:w="696"/>
        <w:gridCol w:w="6632"/>
        <w:gridCol w:w="2616"/>
      </w:tblGrid>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东方红欣和平衡配置两年持有期混合型基金中基金（FOF）</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011587</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东方红创新趋势混合型证券投资基金</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010699</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3</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东方红远见价值混合型证券投资基金A/C</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010714</w:t>
            </w:r>
            <w:r>
              <w:rPr>
                <w:rFonts w:ascii="宋体" w:eastAsia="宋体" w:hAnsi="宋体" w:cs="Times New Roman"/>
                <w:sz w:val="24"/>
                <w:szCs w:val="24"/>
              </w:rPr>
              <w:t>/017537</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4</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东方红启阳三年持有期混合型证券投资基金A</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910024</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5</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东方红启瑞三年持有期混合型证券投资基金A</w:t>
            </w:r>
            <w:r>
              <w:rPr>
                <w:rFonts w:ascii="宋体" w:eastAsia="宋体" w:hAnsi="宋体" w:cs="Times New Roman"/>
                <w:sz w:val="24"/>
                <w:szCs w:val="24"/>
              </w:rPr>
              <w:t>/</w:t>
            </w:r>
            <w:r>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910011/</w:t>
            </w:r>
            <w:r>
              <w:rPr>
                <w:rFonts w:ascii="宋体" w:eastAsia="宋体" w:hAnsi="宋体" w:cs="Times New Roman"/>
                <w:sz w:val="24"/>
                <w:szCs w:val="24"/>
              </w:rPr>
              <w:t>011312</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6</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东方红启程三年持有期混合型证券投资基金A</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910009</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7</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东方红启盛三年持有期混合型证券投资基金A</w:t>
            </w:r>
            <w:r>
              <w:rPr>
                <w:rFonts w:ascii="宋体" w:eastAsia="宋体" w:hAnsi="宋体" w:cs="Times New Roman"/>
                <w:sz w:val="24"/>
                <w:szCs w:val="24"/>
              </w:rPr>
              <w:t>/</w:t>
            </w:r>
            <w:r>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910006</w:t>
            </w:r>
            <w:r>
              <w:rPr>
                <w:rFonts w:ascii="宋体" w:eastAsia="宋体" w:hAnsi="宋体" w:cs="Times New Roman"/>
                <w:sz w:val="24"/>
                <w:szCs w:val="24"/>
              </w:rPr>
              <w:t>/010442</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8</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东方红锦和甄选18个月持有期混合型证券投资基金A/C</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012088/</w:t>
            </w:r>
            <w:r>
              <w:rPr>
                <w:rFonts w:ascii="宋体" w:eastAsia="宋体" w:hAnsi="宋体" w:cs="Times New Roman"/>
                <w:sz w:val="24"/>
                <w:szCs w:val="24"/>
              </w:rPr>
              <w:t>012089</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东方红启恒三年持有期混合型证券投资基金A</w:t>
            </w:r>
            <w:r>
              <w:rPr>
                <w:rFonts w:ascii="宋体" w:eastAsia="宋体" w:hAnsi="宋体" w:cs="Times New Roman"/>
                <w:sz w:val="24"/>
                <w:szCs w:val="24"/>
              </w:rPr>
              <w:t>/</w:t>
            </w:r>
            <w:r>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910004</w:t>
            </w:r>
            <w:r>
              <w:rPr>
                <w:rFonts w:ascii="宋体" w:eastAsia="宋体" w:hAnsi="宋体" w:cs="Times New Roman"/>
                <w:sz w:val="24"/>
                <w:szCs w:val="24"/>
              </w:rPr>
              <w:t>/011724</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10</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东方红启华三年持有期混合型证券投资基金A</w:t>
            </w:r>
            <w:r>
              <w:rPr>
                <w:rFonts w:ascii="宋体" w:eastAsia="宋体" w:hAnsi="宋体" w:cs="Times New Roman"/>
                <w:sz w:val="24"/>
                <w:szCs w:val="24"/>
              </w:rPr>
              <w:t>/</w:t>
            </w:r>
            <w:r>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910021/</w:t>
            </w:r>
            <w:r>
              <w:rPr>
                <w:rFonts w:ascii="宋体" w:eastAsia="宋体" w:hAnsi="宋体" w:cs="Times New Roman"/>
                <w:sz w:val="24"/>
                <w:szCs w:val="24"/>
              </w:rPr>
              <w:t>011313</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11</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东方红内需增长混合型证券投资基金A</w:t>
            </w:r>
            <w:r>
              <w:rPr>
                <w:rFonts w:ascii="宋体" w:eastAsia="宋体" w:hAnsi="宋体" w:cs="Times New Roman"/>
                <w:sz w:val="24"/>
                <w:szCs w:val="24"/>
              </w:rPr>
              <w:t>/</w:t>
            </w:r>
            <w:r>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910028</w:t>
            </w:r>
            <w:r>
              <w:rPr>
                <w:rFonts w:ascii="宋体" w:eastAsia="宋体" w:hAnsi="宋体" w:cs="Times New Roman"/>
                <w:sz w:val="24"/>
                <w:szCs w:val="24"/>
              </w:rPr>
              <w:t>/012243</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2</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东方红新源三年持有期混合型证券投资基金A</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910026</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3</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东方红新海混合型证券投资基金A</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910010</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4</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东方红智华三年持有期混合型证券投资基金A</w:t>
            </w:r>
            <w:r>
              <w:rPr>
                <w:rFonts w:ascii="宋体" w:eastAsia="宋体" w:hAnsi="宋体" w:cs="Times New Roman"/>
                <w:sz w:val="24"/>
                <w:szCs w:val="24"/>
              </w:rPr>
              <w:t>/C</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012839</w:t>
            </w:r>
            <w:r>
              <w:rPr>
                <w:rFonts w:ascii="宋体" w:eastAsia="宋体" w:hAnsi="宋体" w:cs="Times New Roman"/>
                <w:sz w:val="24"/>
                <w:szCs w:val="24"/>
              </w:rPr>
              <w:t>/012840</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5</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东方红智选三年持有期混合型证券投资基金A</w:t>
            </w:r>
            <w:r>
              <w:rPr>
                <w:rFonts w:ascii="宋体" w:eastAsia="宋体" w:hAnsi="宋体" w:cs="Times New Roman"/>
                <w:sz w:val="24"/>
                <w:szCs w:val="24"/>
              </w:rPr>
              <w:t>/C</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013294</w:t>
            </w:r>
            <w:r>
              <w:rPr>
                <w:rFonts w:ascii="宋体" w:eastAsia="宋体" w:hAnsi="宋体" w:cs="Times New Roman"/>
                <w:sz w:val="24"/>
                <w:szCs w:val="24"/>
              </w:rPr>
              <w:t>/013295</w:t>
            </w:r>
          </w:p>
        </w:tc>
      </w:tr>
      <w:tr w:rsidR="00783D8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6</w:t>
            </w:r>
          </w:p>
        </w:tc>
        <w:tc>
          <w:tcPr>
            <w:tcW w:w="6632"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东方红睿和三年定期开放混合型证券投资基金A</w:t>
            </w:r>
            <w:r>
              <w:rPr>
                <w:rFonts w:ascii="宋体" w:eastAsia="宋体" w:hAnsi="宋体" w:cs="Times New Roman"/>
                <w:sz w:val="24"/>
                <w:szCs w:val="24"/>
              </w:rPr>
              <w:t>/C</w:t>
            </w:r>
          </w:p>
        </w:tc>
        <w:tc>
          <w:tcPr>
            <w:tcW w:w="2616" w:type="dxa"/>
            <w:tcBorders>
              <w:top w:val="nil"/>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169109</w:t>
            </w:r>
            <w:r>
              <w:rPr>
                <w:rFonts w:ascii="宋体" w:eastAsia="宋体" w:hAnsi="宋体" w:cs="Times New Roman"/>
                <w:sz w:val="24"/>
                <w:szCs w:val="24"/>
              </w:rPr>
              <w:t>/012439</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7</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东方红启兴三年持有期混合型证券投资基金A</w:t>
            </w:r>
            <w:r>
              <w:rPr>
                <w:rFonts w:ascii="宋体" w:eastAsia="宋体" w:hAnsi="宋体" w:cs="Times New Roman"/>
                <w:sz w:val="24"/>
                <w:szCs w:val="24"/>
              </w:rPr>
              <w:t>/B</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910005/</w:t>
            </w:r>
            <w:r>
              <w:rPr>
                <w:rFonts w:ascii="宋体" w:eastAsia="宋体" w:hAnsi="宋体" w:cs="Times New Roman"/>
                <w:sz w:val="24"/>
                <w:szCs w:val="24"/>
              </w:rPr>
              <w:t>010441</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8</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东方红锦丰优选两年定期开放混合型证券投资基金</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010700</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19</w:t>
            </w:r>
          </w:p>
        </w:tc>
        <w:tc>
          <w:tcPr>
            <w:tcW w:w="6632" w:type="dxa"/>
            <w:tcBorders>
              <w:top w:val="single" w:sz="4" w:space="0" w:color="auto"/>
              <w:left w:val="nil"/>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东方红招瑞甄选18个月持有期混合型证券投资基金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012949</w:t>
            </w:r>
            <w:r>
              <w:rPr>
                <w:rFonts w:ascii="宋体" w:eastAsia="宋体" w:hAnsi="宋体" w:cs="Times New Roman" w:hint="eastAsia"/>
                <w:sz w:val="24"/>
                <w:szCs w:val="24"/>
              </w:rPr>
              <w:t>/</w:t>
            </w:r>
            <w:r>
              <w:rPr>
                <w:rFonts w:ascii="宋体" w:eastAsia="宋体" w:hAnsi="宋体" w:cs="Times New Roman"/>
                <w:sz w:val="24"/>
                <w:szCs w:val="24"/>
              </w:rPr>
              <w:t>012950</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0</w:t>
            </w:r>
          </w:p>
        </w:tc>
        <w:tc>
          <w:tcPr>
            <w:tcW w:w="6632" w:type="dxa"/>
            <w:tcBorders>
              <w:top w:val="single" w:sz="4" w:space="0" w:color="auto"/>
              <w:left w:val="nil"/>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东方红锦弘甄选两年持有期混合型证券投资基金</w:t>
            </w:r>
          </w:p>
        </w:tc>
        <w:tc>
          <w:tcPr>
            <w:tcW w:w="2616"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w:t>
            </w:r>
            <w:r>
              <w:rPr>
                <w:rFonts w:ascii="宋体" w:eastAsia="宋体" w:hAnsi="宋体" w:cs="Times New Roman"/>
                <w:sz w:val="24"/>
                <w:szCs w:val="24"/>
              </w:rPr>
              <w:t>14573</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1</w:t>
            </w:r>
          </w:p>
        </w:tc>
        <w:tc>
          <w:tcPr>
            <w:tcW w:w="6632" w:type="dxa"/>
            <w:tcBorders>
              <w:top w:val="single" w:sz="4" w:space="0" w:color="auto"/>
              <w:left w:val="nil"/>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东方红锦融甄选</w:t>
            </w:r>
            <w:r>
              <w:rPr>
                <w:rFonts w:ascii="宋体" w:eastAsia="宋体" w:hAnsi="宋体" w:cs="Times New Roman"/>
                <w:sz w:val="24"/>
                <w:szCs w:val="24"/>
              </w:rPr>
              <w:t>18个月持有期混合型证券投资基金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014888</w:t>
            </w:r>
            <w:r>
              <w:rPr>
                <w:rFonts w:ascii="宋体" w:eastAsia="宋体" w:hAnsi="宋体" w:cs="Times New Roman" w:hint="eastAsia"/>
                <w:sz w:val="24"/>
                <w:szCs w:val="24"/>
              </w:rPr>
              <w:t>/</w:t>
            </w:r>
            <w:r>
              <w:rPr>
                <w:rFonts w:ascii="宋体" w:eastAsia="宋体" w:hAnsi="宋体" w:cs="Times New Roman"/>
                <w:sz w:val="24"/>
                <w:szCs w:val="24"/>
              </w:rPr>
              <w:t>014889</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2</w:t>
            </w:r>
          </w:p>
        </w:tc>
        <w:tc>
          <w:tcPr>
            <w:tcW w:w="6632"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w:t>
            </w:r>
            <w:r>
              <w:rPr>
                <w:rFonts w:ascii="宋体" w:eastAsia="宋体" w:hAnsi="宋体" w:cs="Times New Roman"/>
                <w:sz w:val="24"/>
                <w:szCs w:val="24"/>
              </w:rPr>
              <w:t>ESG可持续投资混合型证券投资基金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015102</w:t>
            </w:r>
            <w:r>
              <w:rPr>
                <w:rFonts w:ascii="宋体" w:eastAsia="宋体" w:hAnsi="宋体" w:cs="Times New Roman" w:hint="eastAsia"/>
                <w:sz w:val="24"/>
                <w:szCs w:val="24"/>
              </w:rPr>
              <w:t>/0</w:t>
            </w:r>
            <w:r>
              <w:rPr>
                <w:rFonts w:ascii="宋体" w:eastAsia="宋体" w:hAnsi="宋体" w:cs="Times New Roman"/>
                <w:sz w:val="24"/>
                <w:szCs w:val="24"/>
              </w:rPr>
              <w:t>15103</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3</w:t>
            </w:r>
          </w:p>
        </w:tc>
        <w:tc>
          <w:tcPr>
            <w:tcW w:w="6632"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东方红医疗升级股票型发起式证券投资基金A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015052</w:t>
            </w:r>
            <w:r>
              <w:rPr>
                <w:rFonts w:ascii="宋体" w:eastAsia="宋体" w:hAnsi="宋体" w:cs="Times New Roman" w:hint="eastAsia"/>
                <w:sz w:val="24"/>
                <w:szCs w:val="24"/>
              </w:rPr>
              <w:t>/0</w:t>
            </w:r>
            <w:r>
              <w:rPr>
                <w:rFonts w:ascii="宋体" w:eastAsia="宋体" w:hAnsi="宋体" w:cs="Times New Roman"/>
                <w:sz w:val="24"/>
                <w:szCs w:val="24"/>
              </w:rPr>
              <w:t>15053</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4</w:t>
            </w:r>
          </w:p>
        </w:tc>
        <w:tc>
          <w:tcPr>
            <w:tcW w:w="6632"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东方红民享甄选一年持有期混合型证券投资基金</w:t>
            </w:r>
          </w:p>
        </w:tc>
        <w:tc>
          <w:tcPr>
            <w:tcW w:w="2616"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014291</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5</w:t>
            </w:r>
          </w:p>
        </w:tc>
        <w:tc>
          <w:tcPr>
            <w:tcW w:w="6632"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东方红远见领航混合型发起式证券投资基金A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019008</w:t>
            </w:r>
            <w:r>
              <w:rPr>
                <w:rFonts w:ascii="宋体" w:eastAsia="宋体" w:hAnsi="宋体" w:cs="Times New Roman"/>
                <w:sz w:val="24"/>
                <w:szCs w:val="24"/>
              </w:rPr>
              <w:t>/</w:t>
            </w:r>
            <w:r>
              <w:rPr>
                <w:rFonts w:ascii="宋体" w:eastAsia="宋体" w:hAnsi="宋体" w:cs="Times New Roman" w:hint="eastAsia"/>
                <w:sz w:val="24"/>
                <w:szCs w:val="24"/>
              </w:rPr>
              <w:t>01900</w:t>
            </w:r>
            <w:r>
              <w:rPr>
                <w:rFonts w:ascii="宋体" w:eastAsia="宋体" w:hAnsi="宋体" w:cs="Times New Roman"/>
                <w:sz w:val="24"/>
                <w:szCs w:val="24"/>
              </w:rPr>
              <w:t>9</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6</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东方红多元策略混合型证券投资基金A</w:t>
            </w:r>
            <w:r>
              <w:rPr>
                <w:rFonts w:ascii="宋体" w:eastAsia="宋体" w:hAnsi="宋体" w:cs="Times New Roman"/>
                <w:sz w:val="24"/>
                <w:szCs w:val="24"/>
              </w:rPr>
              <w:t>/B/C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910017</w:t>
            </w:r>
            <w:r>
              <w:rPr>
                <w:rFonts w:ascii="宋体" w:eastAsia="宋体" w:hAnsi="宋体" w:cs="Times New Roman"/>
                <w:sz w:val="24"/>
                <w:szCs w:val="24"/>
              </w:rPr>
              <w:t>/010821</w:t>
            </w:r>
            <w:r>
              <w:rPr>
                <w:rFonts w:ascii="宋体" w:eastAsia="宋体" w:hAnsi="宋体" w:cs="Times New Roman" w:hint="eastAsia"/>
                <w:sz w:val="24"/>
                <w:szCs w:val="24"/>
              </w:rPr>
              <w:t>/</w:t>
            </w:r>
            <w:r>
              <w:rPr>
                <w:rFonts w:ascii="宋体" w:eastAsia="宋体" w:hAnsi="宋体" w:cs="Times New Roman"/>
                <w:sz w:val="24"/>
                <w:szCs w:val="24"/>
              </w:rPr>
              <w:t>017494</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7</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东方红启航三年持有期混合型证券投资基金A/B</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910022/010225</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8</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东方红锦惠甄选18个月持有期混合型证券投资基金A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016832/016833</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29</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东方红共赢甄选一年持有期混合型证券投资基金A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016834</w:t>
            </w:r>
            <w:r>
              <w:rPr>
                <w:rFonts w:ascii="宋体" w:eastAsia="宋体" w:hAnsi="宋体" w:cs="Times New Roman"/>
                <w:sz w:val="24"/>
                <w:szCs w:val="24"/>
              </w:rPr>
              <w:t>/</w:t>
            </w:r>
            <w:r>
              <w:rPr>
                <w:rFonts w:ascii="宋体" w:eastAsia="宋体" w:hAnsi="宋体" w:cs="Times New Roman" w:hint="eastAsia"/>
                <w:sz w:val="24"/>
                <w:szCs w:val="24"/>
              </w:rPr>
              <w:t>016835</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30</w:t>
            </w:r>
          </w:p>
        </w:tc>
        <w:tc>
          <w:tcPr>
            <w:tcW w:w="6632"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东方红先进制造混合型证券投资基金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017848/017849</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31</w:t>
            </w:r>
          </w:p>
        </w:tc>
        <w:tc>
          <w:tcPr>
            <w:tcW w:w="6632"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东方红欣和积极配置3个月持有期混合型基金中基金（FOF）</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018511/</w:t>
            </w:r>
            <w:r>
              <w:rPr>
                <w:rFonts w:ascii="宋体" w:eastAsia="宋体" w:hAnsi="宋体" w:cs="Times New Roman" w:hint="eastAsia"/>
                <w:sz w:val="24"/>
                <w:szCs w:val="24"/>
              </w:rPr>
              <w:t>01851</w:t>
            </w:r>
            <w:r>
              <w:rPr>
                <w:rFonts w:ascii="宋体" w:eastAsia="宋体" w:hAnsi="宋体" w:cs="Times New Roman"/>
                <w:sz w:val="24"/>
                <w:szCs w:val="24"/>
              </w:rPr>
              <w:t>2</w:t>
            </w:r>
          </w:p>
        </w:tc>
      </w:tr>
      <w:tr w:rsidR="00783D8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2</w:t>
            </w:r>
          </w:p>
        </w:tc>
        <w:tc>
          <w:tcPr>
            <w:tcW w:w="6632"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东方红汇享债券型证券投资基金</w:t>
            </w:r>
          </w:p>
        </w:tc>
        <w:tc>
          <w:tcPr>
            <w:tcW w:w="2616" w:type="dxa"/>
            <w:tcBorders>
              <w:top w:val="single" w:sz="4" w:space="0" w:color="auto"/>
              <w:left w:val="nil"/>
              <w:bottom w:val="single" w:sz="4" w:space="0" w:color="auto"/>
              <w:right w:val="single" w:sz="4" w:space="0" w:color="auto"/>
            </w:tcBorders>
            <w:shd w:val="clear" w:color="auto" w:fill="auto"/>
            <w:noWrap/>
          </w:tcPr>
          <w:p w:rsidR="00783D8B" w:rsidRDefault="00B37268">
            <w:pPr>
              <w:spacing w:line="360" w:lineRule="auto"/>
              <w:rPr>
                <w:rFonts w:ascii="宋体" w:eastAsia="宋体" w:hAnsi="宋体" w:cs="Times New Roman"/>
                <w:sz w:val="24"/>
                <w:szCs w:val="24"/>
              </w:rPr>
            </w:pPr>
            <w:r>
              <w:rPr>
                <w:rFonts w:ascii="宋体" w:eastAsia="宋体" w:hAnsi="宋体" w:cs="Times New Roman"/>
                <w:sz w:val="24"/>
                <w:szCs w:val="24"/>
              </w:rPr>
              <w:t>020284</w:t>
            </w:r>
            <w:r>
              <w:rPr>
                <w:rFonts w:ascii="宋体" w:eastAsia="宋体" w:hAnsi="宋体" w:cs="Times New Roman" w:hint="eastAsia"/>
                <w:sz w:val="24"/>
                <w:szCs w:val="24"/>
              </w:rPr>
              <w:t>/</w:t>
            </w:r>
            <w:r>
              <w:rPr>
                <w:rFonts w:ascii="宋体" w:eastAsia="宋体" w:hAnsi="宋体" w:cs="Times New Roman"/>
                <w:sz w:val="24"/>
                <w:szCs w:val="24"/>
              </w:rPr>
              <w:t>020285</w:t>
            </w:r>
          </w:p>
        </w:tc>
      </w:tr>
    </w:tbl>
    <w:p w:rsidR="00783D8B" w:rsidRDefault="00783D8B">
      <w:pPr>
        <w:spacing w:line="360" w:lineRule="auto"/>
        <w:rPr>
          <w:rFonts w:ascii="宋体" w:eastAsia="宋体" w:hAnsi="宋体" w:cs="Times New Roman"/>
          <w:sz w:val="24"/>
          <w:szCs w:val="24"/>
        </w:rPr>
      </w:pP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（二）暂停开放安排</w:t>
      </w: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本公司</w:t>
      </w:r>
      <w:r>
        <w:rPr>
          <w:rFonts w:ascii="宋体" w:eastAsia="宋体" w:hAnsi="宋体" w:cs="Times New Roman" w:hint="eastAsia"/>
          <w:sz w:val="24"/>
          <w:szCs w:val="24"/>
        </w:rPr>
        <w:t>决定，若上述基金在开放日或开放期内遇非港股通交易日，则暂停办理申购、赎回、定期定额投资（如开通）、基金转换（如开通）等交易类业务，并自非港股通交易日结束后的首个开放日恢复办理上述业务。但本公司有权对合同约定“管理人有权决定是否开放”的基金的开放安排进行相应调整并另行公告。</w:t>
      </w: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本公告列表仅包含本公司现行管理的基金，后续新发行的基金或新增基金份额类别如在基金合同中约定遇到非港股通交易日“不开放”或“管理人有权决定是否开放”的，如管理人未公告，则默认非港股通交易日暂停办理申购、赎回、定期定额投资（如开通）、基金转换（如开通）等交易类业务，并自非港股通交易日结束后的首个开放日恢复办理上述业务。</w:t>
      </w: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若非港股通交易日、境外主要市场节假日安排、境外主要市场状况发生变化或将来根据法律法规和基金合同的约定需要调整上述安排的，本公司将进行相应调整并另行公告。</w:t>
      </w:r>
    </w:p>
    <w:p w:rsidR="00783D8B" w:rsidRDefault="00783D8B">
      <w:pPr>
        <w:spacing w:line="360" w:lineRule="auto"/>
        <w:ind w:firstLineChars="200" w:firstLine="480"/>
        <w:rPr>
          <w:rFonts w:ascii="宋体" w:eastAsia="宋体" w:hAnsi="宋体" w:cs="Times New Roman"/>
          <w:sz w:val="24"/>
          <w:szCs w:val="24"/>
        </w:rPr>
      </w:pPr>
    </w:p>
    <w:p w:rsidR="00783D8B" w:rsidRDefault="00B37268">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三、重要提示</w:t>
      </w: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Pr>
          <w:rFonts w:ascii="宋体" w:eastAsia="宋体" w:hAnsi="宋体" w:cs="Times New Roman" w:hint="eastAsia"/>
          <w:sz w:val="24"/>
          <w:szCs w:val="24"/>
        </w:rPr>
        <w:t>敬请投资者尽早做好交易安排，避免因非港股通交易日暂停办理业务的原因带来不便。如有疑问，</w:t>
      </w:r>
      <w:r>
        <w:rPr>
          <w:rFonts w:ascii="宋体" w:eastAsia="宋体" w:hAnsi="宋体" w:cs="Times New Roman"/>
          <w:sz w:val="24"/>
          <w:szCs w:val="24"/>
        </w:rPr>
        <w:t>投资者可访问上海东方证券资产管理有限公司网站(www.dfham.com</w:t>
      </w:r>
      <w:r>
        <w:rPr>
          <w:rFonts w:ascii="宋体" w:eastAsia="宋体" w:hAnsi="宋体" w:cs="Times New Roman" w:hint="eastAsia"/>
          <w:sz w:val="24"/>
          <w:szCs w:val="24"/>
        </w:rPr>
        <w:t>)</w:t>
      </w:r>
      <w:r>
        <w:rPr>
          <w:rFonts w:ascii="宋体" w:eastAsia="宋体" w:hAnsi="宋体" w:cs="Times New Roman"/>
          <w:sz w:val="24"/>
          <w:szCs w:val="24"/>
        </w:rPr>
        <w:t>或拨打客户服务热线4009200808 咨询相关情况。</w:t>
      </w:r>
    </w:p>
    <w:p w:rsidR="00783D8B" w:rsidRDefault="00B37268">
      <w:pPr>
        <w:spacing w:line="360" w:lineRule="auto"/>
        <w:ind w:firstLineChars="200" w:firstLine="480"/>
        <w:rPr>
          <w:rFonts w:ascii="宋体" w:eastAsia="宋体" w:hAnsi="宋体"/>
          <w:sz w:val="24"/>
          <w:szCs w:val="24"/>
        </w:rPr>
      </w:pP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w:t>
      </w:r>
    </w:p>
    <w:p w:rsidR="00783D8B" w:rsidRDefault="00783D8B">
      <w:pPr>
        <w:pStyle w:val="Default"/>
        <w:spacing w:line="360" w:lineRule="auto"/>
        <w:ind w:firstLine="200"/>
        <w:jc w:val="right"/>
        <w:rPr>
          <w:rFonts w:hAnsi="宋体" w:cs="Times New Roman"/>
          <w:color w:val="auto"/>
          <w:kern w:val="2"/>
        </w:rPr>
      </w:pPr>
    </w:p>
    <w:p w:rsidR="00783D8B" w:rsidRDefault="00B37268">
      <w:pPr>
        <w:pStyle w:val="Default"/>
        <w:spacing w:line="360" w:lineRule="auto"/>
        <w:ind w:firstLine="200"/>
        <w:jc w:val="right"/>
        <w:rPr>
          <w:rFonts w:hAnsi="宋体" w:cs="Times New Roman"/>
          <w:color w:val="auto"/>
          <w:kern w:val="2"/>
        </w:rPr>
      </w:pPr>
      <w:r>
        <w:rPr>
          <w:rFonts w:hAnsi="宋体" w:cs="Times New Roman"/>
          <w:color w:val="auto"/>
          <w:kern w:val="2"/>
        </w:rPr>
        <w:t xml:space="preserve">上海东方证券资产管理有限公司 </w:t>
      </w:r>
    </w:p>
    <w:p w:rsidR="00783D8B" w:rsidRDefault="00B37268">
      <w:pPr>
        <w:pStyle w:val="Default"/>
        <w:spacing w:line="360" w:lineRule="auto"/>
        <w:ind w:firstLine="200"/>
        <w:jc w:val="right"/>
        <w:rPr>
          <w:rFonts w:hAnsi="宋体" w:cs="Times New Roman"/>
          <w:color w:val="auto"/>
          <w:kern w:val="2"/>
        </w:rPr>
      </w:pPr>
      <w:r>
        <w:rPr>
          <w:rFonts w:hAnsi="宋体" w:cs="Times New Roman"/>
          <w:color w:val="auto"/>
          <w:kern w:val="2"/>
        </w:rPr>
        <w:t xml:space="preserve"> </w:t>
      </w:r>
    </w:p>
    <w:p w:rsidR="00783D8B" w:rsidRDefault="00B37268">
      <w:pPr>
        <w:pStyle w:val="Default"/>
        <w:spacing w:line="360" w:lineRule="auto"/>
        <w:ind w:firstLine="200"/>
        <w:jc w:val="right"/>
        <w:rPr>
          <w:rFonts w:hAnsi="宋体" w:cs="Times New Roman"/>
          <w:color w:val="auto"/>
          <w:kern w:val="2"/>
        </w:rPr>
      </w:pPr>
      <w:r>
        <w:rPr>
          <w:rFonts w:hAnsi="宋体" w:cs="Times New Roman"/>
          <w:color w:val="auto"/>
          <w:kern w:val="2"/>
        </w:rPr>
        <w:t xml:space="preserve">2024年5月13日 </w:t>
      </w:r>
    </w:p>
    <w:sectPr w:rsidR="00783D8B" w:rsidSect="003415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77F3"/>
    <w:rsid w:val="00020F0E"/>
    <w:rsid w:val="000331EB"/>
    <w:rsid w:val="00044505"/>
    <w:rsid w:val="00052663"/>
    <w:rsid w:val="0005797A"/>
    <w:rsid w:val="00082F2A"/>
    <w:rsid w:val="000935A4"/>
    <w:rsid w:val="000A15BD"/>
    <w:rsid w:val="000B54E4"/>
    <w:rsid w:val="000C059E"/>
    <w:rsid w:val="001333E0"/>
    <w:rsid w:val="001433A1"/>
    <w:rsid w:val="00166067"/>
    <w:rsid w:val="00171297"/>
    <w:rsid w:val="0017658C"/>
    <w:rsid w:val="001E11CE"/>
    <w:rsid w:val="001F4B7B"/>
    <w:rsid w:val="001F7DA9"/>
    <w:rsid w:val="002149A9"/>
    <w:rsid w:val="00260CD2"/>
    <w:rsid w:val="0026623B"/>
    <w:rsid w:val="00270076"/>
    <w:rsid w:val="00287F3F"/>
    <w:rsid w:val="002B442C"/>
    <w:rsid w:val="002C60E2"/>
    <w:rsid w:val="002D11A5"/>
    <w:rsid w:val="002E01E1"/>
    <w:rsid w:val="002E1BC0"/>
    <w:rsid w:val="002F460B"/>
    <w:rsid w:val="00341522"/>
    <w:rsid w:val="00366968"/>
    <w:rsid w:val="00393FB9"/>
    <w:rsid w:val="003C1819"/>
    <w:rsid w:val="003E272C"/>
    <w:rsid w:val="00407D2B"/>
    <w:rsid w:val="00407F87"/>
    <w:rsid w:val="0044441A"/>
    <w:rsid w:val="00450ACB"/>
    <w:rsid w:val="004626B6"/>
    <w:rsid w:val="0047414D"/>
    <w:rsid w:val="00482071"/>
    <w:rsid w:val="004C6F80"/>
    <w:rsid w:val="004E23DB"/>
    <w:rsid w:val="004E39C2"/>
    <w:rsid w:val="004F4C4B"/>
    <w:rsid w:val="00513EE7"/>
    <w:rsid w:val="0052294A"/>
    <w:rsid w:val="00527D07"/>
    <w:rsid w:val="00550C6E"/>
    <w:rsid w:val="00553C1A"/>
    <w:rsid w:val="005638C5"/>
    <w:rsid w:val="005B64B5"/>
    <w:rsid w:val="005C3E6B"/>
    <w:rsid w:val="005D0DF7"/>
    <w:rsid w:val="005D2008"/>
    <w:rsid w:val="005E527D"/>
    <w:rsid w:val="006001EC"/>
    <w:rsid w:val="00617BC5"/>
    <w:rsid w:val="00624C02"/>
    <w:rsid w:val="00630EE1"/>
    <w:rsid w:val="00660DD9"/>
    <w:rsid w:val="0066254C"/>
    <w:rsid w:val="00663029"/>
    <w:rsid w:val="006706F9"/>
    <w:rsid w:val="0067663A"/>
    <w:rsid w:val="00680167"/>
    <w:rsid w:val="006832E5"/>
    <w:rsid w:val="006B4FA6"/>
    <w:rsid w:val="006C7A51"/>
    <w:rsid w:val="006E042A"/>
    <w:rsid w:val="006E2279"/>
    <w:rsid w:val="006E7F60"/>
    <w:rsid w:val="0072062C"/>
    <w:rsid w:val="007418D2"/>
    <w:rsid w:val="00783D8B"/>
    <w:rsid w:val="007C4F85"/>
    <w:rsid w:val="007C5466"/>
    <w:rsid w:val="007D23F8"/>
    <w:rsid w:val="007D55F2"/>
    <w:rsid w:val="0080326C"/>
    <w:rsid w:val="00832E5E"/>
    <w:rsid w:val="008368A3"/>
    <w:rsid w:val="00841325"/>
    <w:rsid w:val="008534AE"/>
    <w:rsid w:val="008A69DB"/>
    <w:rsid w:val="008C4565"/>
    <w:rsid w:val="008C65D6"/>
    <w:rsid w:val="008D1942"/>
    <w:rsid w:val="008D685A"/>
    <w:rsid w:val="008F59A7"/>
    <w:rsid w:val="008F7C09"/>
    <w:rsid w:val="009107A3"/>
    <w:rsid w:val="0092393F"/>
    <w:rsid w:val="0093398E"/>
    <w:rsid w:val="00943895"/>
    <w:rsid w:val="009527EA"/>
    <w:rsid w:val="00957741"/>
    <w:rsid w:val="00987DBC"/>
    <w:rsid w:val="009F1A42"/>
    <w:rsid w:val="009F6B8F"/>
    <w:rsid w:val="00A10319"/>
    <w:rsid w:val="00A12211"/>
    <w:rsid w:val="00A20D3F"/>
    <w:rsid w:val="00A520FD"/>
    <w:rsid w:val="00A82FE6"/>
    <w:rsid w:val="00A83E50"/>
    <w:rsid w:val="00AC5416"/>
    <w:rsid w:val="00AD32FD"/>
    <w:rsid w:val="00AE4ADC"/>
    <w:rsid w:val="00B156FE"/>
    <w:rsid w:val="00B238E9"/>
    <w:rsid w:val="00B2487F"/>
    <w:rsid w:val="00B3399F"/>
    <w:rsid w:val="00B33FE7"/>
    <w:rsid w:val="00B35E05"/>
    <w:rsid w:val="00B37268"/>
    <w:rsid w:val="00B723F1"/>
    <w:rsid w:val="00BB27C7"/>
    <w:rsid w:val="00BE35A1"/>
    <w:rsid w:val="00BE52AD"/>
    <w:rsid w:val="00C035FA"/>
    <w:rsid w:val="00C07355"/>
    <w:rsid w:val="00C60D19"/>
    <w:rsid w:val="00C6327A"/>
    <w:rsid w:val="00C730FC"/>
    <w:rsid w:val="00C75087"/>
    <w:rsid w:val="00C94F66"/>
    <w:rsid w:val="00C95B6E"/>
    <w:rsid w:val="00CE039C"/>
    <w:rsid w:val="00CE3016"/>
    <w:rsid w:val="00CF3CCE"/>
    <w:rsid w:val="00D318BF"/>
    <w:rsid w:val="00D479E9"/>
    <w:rsid w:val="00D572C3"/>
    <w:rsid w:val="00D65F72"/>
    <w:rsid w:val="00D75CD5"/>
    <w:rsid w:val="00DB4983"/>
    <w:rsid w:val="00DD744D"/>
    <w:rsid w:val="00E27334"/>
    <w:rsid w:val="00E47B21"/>
    <w:rsid w:val="00E50C8F"/>
    <w:rsid w:val="00E62205"/>
    <w:rsid w:val="00E815C0"/>
    <w:rsid w:val="00E93F13"/>
    <w:rsid w:val="00E967B0"/>
    <w:rsid w:val="00EA6F19"/>
    <w:rsid w:val="00EB4CF3"/>
    <w:rsid w:val="00ED5499"/>
    <w:rsid w:val="00F150D2"/>
    <w:rsid w:val="00F304F5"/>
    <w:rsid w:val="00F6080C"/>
    <w:rsid w:val="00F91757"/>
    <w:rsid w:val="00FE71B3"/>
    <w:rsid w:val="00FE77F3"/>
    <w:rsid w:val="00FF6142"/>
    <w:rsid w:val="6AC249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22"/>
    <w:pPr>
      <w:widowControl w:val="0"/>
      <w:jc w:val="both"/>
    </w:pPr>
    <w:rPr>
      <w:kern w:val="2"/>
      <w:sz w:val="21"/>
      <w:szCs w:val="22"/>
    </w:rPr>
  </w:style>
  <w:style w:type="paragraph" w:styleId="1">
    <w:name w:val="heading 1"/>
    <w:basedOn w:val="a"/>
    <w:next w:val="a"/>
    <w:link w:val="1Char"/>
    <w:uiPriority w:val="9"/>
    <w:qFormat/>
    <w:rsid w:val="0034152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415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41522"/>
    <w:pPr>
      <w:jc w:val="left"/>
    </w:pPr>
  </w:style>
  <w:style w:type="paragraph" w:styleId="a4">
    <w:name w:val="Balloon Text"/>
    <w:basedOn w:val="a"/>
    <w:link w:val="Char0"/>
    <w:uiPriority w:val="99"/>
    <w:semiHidden/>
    <w:unhideWhenUsed/>
    <w:rsid w:val="00341522"/>
    <w:rPr>
      <w:sz w:val="18"/>
      <w:szCs w:val="18"/>
    </w:rPr>
  </w:style>
  <w:style w:type="paragraph" w:styleId="a5">
    <w:name w:val="footer"/>
    <w:basedOn w:val="a"/>
    <w:link w:val="Char1"/>
    <w:uiPriority w:val="99"/>
    <w:unhideWhenUsed/>
    <w:rsid w:val="00341522"/>
    <w:pPr>
      <w:tabs>
        <w:tab w:val="center" w:pos="4153"/>
        <w:tab w:val="right" w:pos="8306"/>
      </w:tabs>
      <w:snapToGrid w:val="0"/>
      <w:jc w:val="left"/>
    </w:pPr>
    <w:rPr>
      <w:sz w:val="18"/>
      <w:szCs w:val="18"/>
    </w:rPr>
  </w:style>
  <w:style w:type="paragraph" w:styleId="a6">
    <w:name w:val="header"/>
    <w:basedOn w:val="a"/>
    <w:link w:val="Char2"/>
    <w:uiPriority w:val="99"/>
    <w:unhideWhenUsed/>
    <w:rsid w:val="0034152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rsid w:val="003415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annotation subject"/>
    <w:basedOn w:val="a3"/>
    <w:next w:val="a3"/>
    <w:link w:val="Char3"/>
    <w:uiPriority w:val="99"/>
    <w:semiHidden/>
    <w:unhideWhenUsed/>
    <w:rsid w:val="00341522"/>
    <w:rPr>
      <w:b/>
      <w:bCs/>
    </w:rPr>
  </w:style>
  <w:style w:type="table" w:styleId="a8">
    <w:name w:val="Table Grid"/>
    <w:basedOn w:val="a1"/>
    <w:uiPriority w:val="59"/>
    <w:rsid w:val="0034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41522"/>
    <w:rPr>
      <w:color w:val="0000FF" w:themeColor="hyperlink"/>
      <w:u w:val="single"/>
    </w:rPr>
  </w:style>
  <w:style w:type="character" w:styleId="aa">
    <w:name w:val="annotation reference"/>
    <w:basedOn w:val="a0"/>
    <w:uiPriority w:val="99"/>
    <w:semiHidden/>
    <w:unhideWhenUsed/>
    <w:rsid w:val="00341522"/>
    <w:rPr>
      <w:sz w:val="21"/>
      <w:szCs w:val="21"/>
    </w:rPr>
  </w:style>
  <w:style w:type="character" w:customStyle="1" w:styleId="Char2">
    <w:name w:val="页眉 Char"/>
    <w:basedOn w:val="a0"/>
    <w:link w:val="a6"/>
    <w:uiPriority w:val="99"/>
    <w:rsid w:val="00341522"/>
    <w:rPr>
      <w:sz w:val="18"/>
      <w:szCs w:val="18"/>
    </w:rPr>
  </w:style>
  <w:style w:type="character" w:customStyle="1" w:styleId="Char1">
    <w:name w:val="页脚 Char"/>
    <w:basedOn w:val="a0"/>
    <w:link w:val="a5"/>
    <w:uiPriority w:val="99"/>
    <w:rsid w:val="00341522"/>
    <w:rPr>
      <w:sz w:val="18"/>
      <w:szCs w:val="18"/>
    </w:rPr>
  </w:style>
  <w:style w:type="paragraph" w:customStyle="1" w:styleId="Default">
    <w:name w:val="Default"/>
    <w:rsid w:val="00341522"/>
    <w:pPr>
      <w:widowControl w:val="0"/>
      <w:autoSpaceDE w:val="0"/>
      <w:autoSpaceDN w:val="0"/>
      <w:adjustRightInd w:val="0"/>
    </w:pPr>
    <w:rPr>
      <w:rFonts w:ascii="宋体" w:eastAsia="宋体" w:cs="宋体"/>
      <w:color w:val="000000"/>
      <w:sz w:val="24"/>
      <w:szCs w:val="24"/>
    </w:rPr>
  </w:style>
  <w:style w:type="character" w:customStyle="1" w:styleId="1Char">
    <w:name w:val="标题 1 Char"/>
    <w:basedOn w:val="a0"/>
    <w:link w:val="1"/>
    <w:uiPriority w:val="9"/>
    <w:rsid w:val="00341522"/>
    <w:rPr>
      <w:b/>
      <w:bCs/>
      <w:kern w:val="44"/>
      <w:sz w:val="44"/>
      <w:szCs w:val="44"/>
    </w:rPr>
  </w:style>
  <w:style w:type="paragraph" w:styleId="ab">
    <w:name w:val="List Paragraph"/>
    <w:basedOn w:val="a"/>
    <w:uiPriority w:val="34"/>
    <w:qFormat/>
    <w:rsid w:val="00341522"/>
    <w:pPr>
      <w:ind w:firstLineChars="200" w:firstLine="420"/>
    </w:pPr>
  </w:style>
  <w:style w:type="character" w:customStyle="1" w:styleId="Char0">
    <w:name w:val="批注框文本 Char"/>
    <w:basedOn w:val="a0"/>
    <w:link w:val="a4"/>
    <w:uiPriority w:val="99"/>
    <w:semiHidden/>
    <w:rsid w:val="00341522"/>
    <w:rPr>
      <w:sz w:val="18"/>
      <w:szCs w:val="18"/>
    </w:rPr>
  </w:style>
  <w:style w:type="character" w:customStyle="1" w:styleId="Char">
    <w:name w:val="批注文字 Char"/>
    <w:basedOn w:val="a0"/>
    <w:link w:val="a3"/>
    <w:uiPriority w:val="99"/>
    <w:semiHidden/>
    <w:rsid w:val="00341522"/>
  </w:style>
  <w:style w:type="character" w:customStyle="1" w:styleId="Char3">
    <w:name w:val="批注主题 Char"/>
    <w:basedOn w:val="Char"/>
    <w:link w:val="a7"/>
    <w:uiPriority w:val="99"/>
    <w:semiHidden/>
    <w:rsid w:val="00341522"/>
    <w:rPr>
      <w:b/>
      <w:bCs/>
    </w:rPr>
  </w:style>
  <w:style w:type="paragraph" w:customStyle="1" w:styleId="10">
    <w:name w:val="修订1"/>
    <w:hidden/>
    <w:uiPriority w:val="99"/>
    <w:semiHidden/>
    <w:rsid w:val="00341522"/>
    <w:rPr>
      <w:kern w:val="2"/>
      <w:sz w:val="21"/>
      <w:szCs w:val="22"/>
    </w:rPr>
  </w:style>
  <w:style w:type="character" w:customStyle="1" w:styleId="2Char">
    <w:name w:val="标题 2 Char"/>
    <w:basedOn w:val="a0"/>
    <w:link w:val="2"/>
    <w:uiPriority w:val="9"/>
    <w:semiHidden/>
    <w:rsid w:val="00341522"/>
    <w:rPr>
      <w:rFonts w:asciiTheme="majorHAnsi" w:eastAsiaTheme="majorEastAsia" w:hAnsiTheme="majorHAnsi" w:cstheme="majorBidi"/>
      <w:b/>
      <w:bCs/>
      <w:sz w:val="32"/>
      <w:szCs w:val="32"/>
    </w:rPr>
  </w:style>
  <w:style w:type="character" w:customStyle="1" w:styleId="HTMLChar">
    <w:name w:val="HTML 预设格式 Char"/>
    <w:basedOn w:val="a0"/>
    <w:link w:val="HTML"/>
    <w:uiPriority w:val="99"/>
    <w:semiHidden/>
    <w:rsid w:val="00341522"/>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3289</Characters>
  <Application>Microsoft Office Word</Application>
  <DocSecurity>4</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赵凯</dc:creator>
  <cp:lastModifiedBy>ZHONGM</cp:lastModifiedBy>
  <cp:revision>2</cp:revision>
  <dcterms:created xsi:type="dcterms:W3CDTF">2024-05-12T16:00:00Z</dcterms:created>
  <dcterms:modified xsi:type="dcterms:W3CDTF">2024-05-12T16:00:00Z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A699BD32A7734FA99641A3AD3E4467B6</vt:lpwstr>
  </property>
</Properties>
</file>