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C0" w:rsidRPr="00DD1795" w:rsidRDefault="00FD1AC0" w:rsidP="001B7A82">
      <w:pPr>
        <w:widowControl w:val="0"/>
        <w:spacing w:line="360" w:lineRule="auto"/>
        <w:jc w:val="center"/>
        <w:rPr>
          <w:rFonts w:asciiTheme="minorEastAsia" w:eastAsiaTheme="minorEastAsia" w:hAnsiTheme="minorEastAsia"/>
          <w:szCs w:val="48"/>
        </w:rPr>
      </w:pPr>
      <w:r w:rsidRPr="00DD1795">
        <w:rPr>
          <w:rFonts w:asciiTheme="minorEastAsia" w:eastAsiaTheme="minorEastAsia" w:hAnsiTheme="minorEastAsia" w:cs="宋体" w:hint="eastAsia"/>
          <w:b/>
          <w:bCs/>
          <w:szCs w:val="48"/>
        </w:rPr>
        <w:t>鹏</w:t>
      </w:r>
      <w:r w:rsidR="00FB388B" w:rsidRPr="00FB388B">
        <w:rPr>
          <w:rFonts w:asciiTheme="minorEastAsia" w:eastAsiaTheme="minorEastAsia" w:hAnsiTheme="minorEastAsia" w:cs="宋体" w:hint="eastAsia"/>
          <w:b/>
          <w:bCs/>
          <w:szCs w:val="48"/>
        </w:rPr>
        <w:t>华基金管理有限公司关于旗下部分基金2024年</w:t>
      </w:r>
      <w:r w:rsidR="00702E82">
        <w:rPr>
          <w:rFonts w:asciiTheme="minorEastAsia" w:eastAsiaTheme="minorEastAsia" w:hAnsiTheme="minorEastAsia" w:cs="宋体" w:hint="eastAsia"/>
          <w:b/>
          <w:bCs/>
          <w:szCs w:val="48"/>
        </w:rPr>
        <w:t>5</w:t>
      </w:r>
      <w:r w:rsidR="00FB388B" w:rsidRPr="00FB388B">
        <w:rPr>
          <w:rFonts w:asciiTheme="minorEastAsia" w:eastAsiaTheme="minorEastAsia" w:hAnsiTheme="minorEastAsia" w:cs="宋体" w:hint="eastAsia"/>
          <w:b/>
          <w:bCs/>
          <w:szCs w:val="48"/>
        </w:rPr>
        <w:t>月</w:t>
      </w:r>
      <w:r w:rsidR="00702E82">
        <w:rPr>
          <w:rFonts w:asciiTheme="minorEastAsia" w:eastAsiaTheme="minorEastAsia" w:hAnsiTheme="minorEastAsia" w:cs="宋体" w:hint="eastAsia"/>
          <w:b/>
          <w:bCs/>
          <w:szCs w:val="48"/>
        </w:rPr>
        <w:t>15</w:t>
      </w:r>
      <w:r w:rsidR="00FB388B" w:rsidRPr="00FB388B">
        <w:rPr>
          <w:rFonts w:asciiTheme="minorEastAsia" w:eastAsiaTheme="minorEastAsia" w:hAnsiTheme="minorEastAsia" w:cs="宋体" w:hint="eastAsia"/>
          <w:b/>
          <w:bCs/>
          <w:szCs w:val="48"/>
        </w:rPr>
        <w:t>日因非港股通交易日暂停申购、赎回、转换及定期定额投资业务的提示性公告</w:t>
      </w:r>
    </w:p>
    <w:p w:rsidR="000E4E52" w:rsidRPr="00DD1795" w:rsidRDefault="000E4E52" w:rsidP="00B66560">
      <w:pPr>
        <w:widowControl w:val="0"/>
        <w:ind w:firstLineChars="200" w:firstLine="420"/>
        <w:rPr>
          <w:rFonts w:asciiTheme="minorEastAsia" w:eastAsiaTheme="minorEastAsia" w:hAnsiTheme="minorEastAsia" w:cs="宋体"/>
          <w:sz w:val="21"/>
          <w:szCs w:val="21"/>
        </w:rPr>
      </w:pPr>
    </w:p>
    <w:p w:rsidR="00B66560" w:rsidRPr="00AF5F00" w:rsidRDefault="00FD1AC0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 w:cs="宋体"/>
          <w:sz w:val="21"/>
          <w:szCs w:val="21"/>
        </w:rPr>
      </w:pPr>
      <w:r w:rsidRPr="00DD1795">
        <w:rPr>
          <w:rFonts w:asciiTheme="minorEastAsia" w:eastAsiaTheme="minorEastAsia" w:hAnsiTheme="minorEastAsia" w:cs="宋体" w:hint="eastAsia"/>
          <w:sz w:val="21"/>
          <w:szCs w:val="21"/>
        </w:rPr>
        <w:t>为了保护持有人利益，保障基金平稳运作，根据《公开募集证券投资基金运作管理办法》、《公开募集证券投资基金信息披露管理办法》、《</w:t>
      </w:r>
      <w:r w:rsidR="00D654C1" w:rsidRPr="00D654C1">
        <w:rPr>
          <w:rFonts w:asciiTheme="minorEastAsia" w:eastAsiaTheme="minorEastAsia" w:hAnsiTheme="minorEastAsia" w:cs="宋体" w:hint="eastAsia"/>
          <w:sz w:val="21"/>
          <w:szCs w:val="21"/>
        </w:rPr>
        <w:t>关于2023年岁末及2024年沪港通下港股通交易日安排的通知</w:t>
      </w:r>
      <w:r w:rsidRPr="00DD1795">
        <w:rPr>
          <w:rFonts w:asciiTheme="minorEastAsia" w:eastAsiaTheme="minorEastAsia" w:hAnsiTheme="minorEastAsia" w:cs="宋体" w:hint="eastAsia"/>
          <w:sz w:val="21"/>
          <w:szCs w:val="21"/>
        </w:rPr>
        <w:t>》</w:t>
      </w:r>
      <w:r w:rsidR="00CB6BFC" w:rsidRPr="00DD1795">
        <w:rPr>
          <w:rFonts w:asciiTheme="minorEastAsia" w:eastAsiaTheme="minorEastAsia" w:hAnsiTheme="minorEastAsia" w:cs="宋体" w:hint="eastAsia"/>
          <w:sz w:val="21"/>
          <w:szCs w:val="21"/>
        </w:rPr>
        <w:t>、</w:t>
      </w:r>
      <w:r w:rsidR="00CB6BFC" w:rsidRPr="00DD1795">
        <w:rPr>
          <w:rFonts w:asciiTheme="minorEastAsia" w:eastAsiaTheme="minorEastAsia" w:hAnsiTheme="minorEastAsia" w:cs="宋体"/>
          <w:sz w:val="21"/>
          <w:szCs w:val="21"/>
        </w:rPr>
        <w:t>《</w:t>
      </w:r>
      <w:r w:rsidR="00D654C1" w:rsidRPr="00D654C1">
        <w:rPr>
          <w:rFonts w:asciiTheme="minorEastAsia" w:eastAsiaTheme="minorEastAsia" w:hAnsiTheme="minorEastAsia" w:cs="宋体" w:hint="eastAsia"/>
          <w:sz w:val="21"/>
          <w:szCs w:val="21"/>
        </w:rPr>
        <w:t>关于2023年底及2024年深港通下的港股通交易日有关安排的通知</w:t>
      </w:r>
      <w:r w:rsidR="00CB6BFC" w:rsidRPr="00DD1795">
        <w:rPr>
          <w:rFonts w:asciiTheme="minorEastAsia" w:eastAsiaTheme="minorEastAsia" w:hAnsiTheme="minorEastAsia" w:cs="宋体"/>
          <w:sz w:val="21"/>
          <w:szCs w:val="21"/>
        </w:rPr>
        <w:t>》</w:t>
      </w:r>
      <w:r w:rsidRPr="00DD1795">
        <w:rPr>
          <w:rFonts w:asciiTheme="minorEastAsia" w:eastAsiaTheme="minorEastAsia" w:hAnsiTheme="minorEastAsia" w:cs="宋体" w:hint="eastAsia"/>
          <w:sz w:val="21"/>
          <w:szCs w:val="21"/>
        </w:rPr>
        <w:t>相关规定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以及鹏华基金管理有限公司（以下简称</w:t>
      </w:r>
      <w:r w:rsidRPr="00AF5F00">
        <w:rPr>
          <w:rFonts w:asciiTheme="minorEastAsia" w:eastAsiaTheme="minorEastAsia" w:hAnsiTheme="minorEastAsia"/>
          <w:sz w:val="21"/>
          <w:szCs w:val="21"/>
        </w:rPr>
        <w:t>“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本公司</w:t>
      </w:r>
      <w:r w:rsidRPr="00AF5F00">
        <w:rPr>
          <w:rFonts w:asciiTheme="minorEastAsia" w:eastAsiaTheme="minorEastAsia" w:hAnsiTheme="minorEastAsia"/>
          <w:sz w:val="21"/>
          <w:szCs w:val="21"/>
        </w:rPr>
        <w:t>”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）旗下基金的基金合同约定，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因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202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4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年</w:t>
      </w:r>
      <w:r w:rsidR="00702E82">
        <w:rPr>
          <w:rFonts w:asciiTheme="minorEastAsia" w:eastAsiaTheme="minorEastAsia" w:hAnsiTheme="minorEastAsia" w:cs="宋体" w:hint="eastAsia"/>
          <w:b/>
          <w:sz w:val="21"/>
          <w:szCs w:val="21"/>
        </w:rPr>
        <w:t>5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月</w:t>
      </w:r>
      <w:r w:rsidR="00702E82">
        <w:rPr>
          <w:rFonts w:asciiTheme="minorEastAsia" w:eastAsiaTheme="minorEastAsia" w:hAnsiTheme="minorEastAsia" w:cs="宋体" w:hint="eastAsia"/>
          <w:b/>
          <w:sz w:val="21"/>
          <w:szCs w:val="21"/>
        </w:rPr>
        <w:t>15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日</w:t>
      </w:r>
      <w:r w:rsidR="00C4031B" w:rsidRPr="00A104AA">
        <w:rPr>
          <w:rFonts w:asciiTheme="minorEastAsia" w:eastAsiaTheme="minorEastAsia" w:hAnsiTheme="minorEastAsia" w:cs="宋体"/>
          <w:b/>
          <w:sz w:val="21"/>
          <w:szCs w:val="21"/>
        </w:rPr>
        <w:t>（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星期</w:t>
      </w:r>
      <w:r w:rsidR="00702E82">
        <w:rPr>
          <w:rFonts w:asciiTheme="minorEastAsia" w:eastAsiaTheme="minorEastAsia" w:hAnsiTheme="minorEastAsia" w:cs="宋体" w:hint="eastAsia"/>
          <w:b/>
          <w:sz w:val="21"/>
          <w:szCs w:val="21"/>
        </w:rPr>
        <w:t>三</w:t>
      </w:r>
      <w:r w:rsidR="00C4031B" w:rsidRPr="00A104AA">
        <w:rPr>
          <w:rFonts w:asciiTheme="minorEastAsia" w:eastAsiaTheme="minorEastAsia" w:hAnsiTheme="minorEastAsia" w:cs="宋体"/>
          <w:b/>
          <w:sz w:val="21"/>
          <w:szCs w:val="21"/>
        </w:rPr>
        <w:t>）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为</w:t>
      </w:r>
      <w:r w:rsidR="00C4031B" w:rsidRPr="00AF5F00">
        <w:rPr>
          <w:rFonts w:asciiTheme="minorEastAsia" w:eastAsiaTheme="minorEastAsia" w:hAnsiTheme="minorEastAsia" w:cs="宋体"/>
          <w:sz w:val="21"/>
          <w:szCs w:val="21"/>
        </w:rPr>
        <w:t>非港股通交易日，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本公司决定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对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本公司旗下部分基金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于</w:t>
      </w:r>
      <w:r w:rsidR="00C4031B" w:rsidRPr="00AF5F00">
        <w:rPr>
          <w:rFonts w:asciiTheme="minorEastAsia" w:eastAsiaTheme="minorEastAsia" w:hAnsiTheme="minorEastAsia" w:cs="宋体"/>
          <w:sz w:val="21"/>
          <w:szCs w:val="21"/>
        </w:rPr>
        <w:t>上述日期暂停办理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申购、赎回、转换及定期定额投资业务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（具体业务类型和开放状态以各基金实际情况为准）</w:t>
      </w:r>
      <w:bookmarkStart w:id="0" w:name="t_3_1_1_table"/>
      <w:bookmarkEnd w:id="0"/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，</w:t>
      </w:r>
      <w:r w:rsidR="00C4031B" w:rsidRPr="00AF5F00">
        <w:rPr>
          <w:rFonts w:asciiTheme="minorEastAsia" w:eastAsiaTheme="minorEastAsia" w:hAnsiTheme="minorEastAsia" w:cs="宋体"/>
          <w:sz w:val="21"/>
          <w:szCs w:val="21"/>
        </w:rPr>
        <w:t>并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自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202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4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年</w:t>
      </w:r>
      <w:r w:rsidR="00702E82">
        <w:rPr>
          <w:rFonts w:asciiTheme="minorEastAsia" w:eastAsiaTheme="minorEastAsia" w:hAnsiTheme="minorEastAsia" w:cs="宋体" w:hint="eastAsia"/>
          <w:b/>
          <w:sz w:val="21"/>
          <w:szCs w:val="21"/>
        </w:rPr>
        <w:t>5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月</w:t>
      </w:r>
      <w:r w:rsidR="00702E82">
        <w:rPr>
          <w:rFonts w:asciiTheme="minorEastAsia" w:eastAsiaTheme="minorEastAsia" w:hAnsiTheme="minorEastAsia" w:cs="宋体" w:hint="eastAsia"/>
          <w:b/>
          <w:sz w:val="21"/>
          <w:szCs w:val="21"/>
        </w:rPr>
        <w:t>16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日</w:t>
      </w:r>
      <w:r w:rsidR="00015547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（星期</w:t>
      </w:r>
      <w:r w:rsidR="00702E82">
        <w:rPr>
          <w:rFonts w:asciiTheme="minorEastAsia" w:eastAsiaTheme="minorEastAsia" w:hAnsiTheme="minorEastAsia" w:cs="宋体" w:hint="eastAsia"/>
          <w:b/>
          <w:sz w:val="21"/>
          <w:szCs w:val="21"/>
        </w:rPr>
        <w:t>四</w:t>
      </w:r>
      <w:r w:rsidR="00015547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）</w:t>
      </w:r>
      <w:r w:rsidR="00015547" w:rsidRPr="00AF5F00">
        <w:rPr>
          <w:rFonts w:asciiTheme="minorEastAsia" w:eastAsiaTheme="minorEastAsia" w:hAnsiTheme="minorEastAsia" w:cs="宋体"/>
          <w:sz w:val="21"/>
          <w:szCs w:val="21"/>
        </w:rPr>
        <w:t>起恢复办理上述业务</w:t>
      </w:r>
      <w:r w:rsidR="00015547" w:rsidRPr="00AF5F00">
        <w:rPr>
          <w:rFonts w:asciiTheme="minorEastAsia" w:eastAsiaTheme="minorEastAsia" w:hAnsiTheme="minorEastAsia" w:cs="宋体" w:hint="eastAsia"/>
          <w:sz w:val="21"/>
          <w:szCs w:val="21"/>
        </w:rPr>
        <w:t>，届时</w:t>
      </w:r>
      <w:r w:rsidR="00015547" w:rsidRPr="00AF5F00">
        <w:rPr>
          <w:rFonts w:asciiTheme="minorEastAsia" w:eastAsiaTheme="minorEastAsia" w:hAnsiTheme="minorEastAsia" w:cs="宋体"/>
          <w:sz w:val="21"/>
          <w:szCs w:val="21"/>
        </w:rPr>
        <w:t>不再另行公告。</w:t>
      </w:r>
    </w:p>
    <w:p w:rsidR="00FD1AC0" w:rsidRPr="00AF5F00" w:rsidRDefault="00D878F5" w:rsidP="00FD1AC0">
      <w:pPr>
        <w:widowControl w:val="0"/>
        <w:rPr>
          <w:rFonts w:asciiTheme="minorEastAsia" w:eastAsiaTheme="minorEastAsia" w:hAnsiTheme="minorEastAsia"/>
          <w:b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b/>
          <w:sz w:val="21"/>
          <w:szCs w:val="21"/>
        </w:rPr>
        <w:t>一</w:t>
      </w:r>
      <w:r w:rsidRPr="00AF5F00">
        <w:rPr>
          <w:rFonts w:asciiTheme="minorEastAsia" w:eastAsiaTheme="minorEastAsia" w:hAnsiTheme="minorEastAsia"/>
          <w:b/>
          <w:sz w:val="21"/>
          <w:szCs w:val="21"/>
        </w:rPr>
        <w:t>、</w:t>
      </w:r>
      <w:r w:rsidR="00015547" w:rsidRPr="00AF5F00">
        <w:rPr>
          <w:rFonts w:asciiTheme="minorEastAsia" w:eastAsiaTheme="minorEastAsia" w:hAnsiTheme="minorEastAsia" w:hint="eastAsia"/>
          <w:b/>
          <w:sz w:val="21"/>
          <w:szCs w:val="21"/>
        </w:rPr>
        <w:t>适用</w:t>
      </w:r>
      <w:r w:rsidR="00015547" w:rsidRPr="00AF5F00">
        <w:rPr>
          <w:rFonts w:asciiTheme="minorEastAsia" w:eastAsiaTheme="minorEastAsia" w:hAnsiTheme="minorEastAsia"/>
          <w:b/>
          <w:sz w:val="21"/>
          <w:szCs w:val="21"/>
        </w:rPr>
        <w:t>基金</w:t>
      </w:r>
      <w:r w:rsidR="00015547" w:rsidRPr="00AF5F00">
        <w:rPr>
          <w:rFonts w:asciiTheme="minorEastAsia" w:eastAsiaTheme="minorEastAsia" w:hAnsiTheme="minorEastAsia" w:hint="eastAsia"/>
          <w:b/>
          <w:sz w:val="21"/>
          <w:szCs w:val="21"/>
        </w:rPr>
        <w:t>如下</w:t>
      </w:r>
      <w:r w:rsidR="00015547" w:rsidRPr="00AF5F00">
        <w:rPr>
          <w:rFonts w:asciiTheme="minorEastAsia" w:eastAsiaTheme="minorEastAsia" w:hAnsiTheme="minorEastAsia"/>
          <w:b/>
          <w:sz w:val="21"/>
          <w:szCs w:val="21"/>
        </w:rPr>
        <w:t>：</w:t>
      </w:r>
    </w:p>
    <w:tbl>
      <w:tblPr>
        <w:tblW w:w="9923" w:type="dxa"/>
        <w:tblInd w:w="-344" w:type="dxa"/>
        <w:tblCellMar>
          <w:left w:w="0" w:type="dxa"/>
          <w:right w:w="0" w:type="dxa"/>
        </w:tblCellMar>
        <w:tblLook w:val="04A0"/>
      </w:tblPr>
      <w:tblGrid>
        <w:gridCol w:w="861"/>
        <w:gridCol w:w="1550"/>
        <w:gridCol w:w="4252"/>
        <w:gridCol w:w="3260"/>
      </w:tblGrid>
      <w:tr w:rsidR="008C7B7F" w:rsidRPr="00AF5F00" w:rsidTr="00DD1795">
        <w:trPr>
          <w:trHeight w:val="234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基金代码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暂停办理的业务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A类501025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C类010365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鹏华港股通中证香港银行投资指数证券投资基金（LOF）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004292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鹏华沪深港互联网股票型证券投资基金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A类160646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C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类012809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鹏华中证沪港深科技龙头指数证券投资基金（LOF）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类006296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Y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类017380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鹏华养老目标日期2035三年持有期混合型基金中基金（FOF）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005967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鹏华创新驱动混合型证券投资基金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006230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鹏华研究驱动混合型证券投资基金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Default="00F646AD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A类</w:t>
            </w:r>
            <w:r w:rsidR="008C7B7F"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005812</w:t>
            </w:r>
          </w:p>
          <w:p w:rsidR="00F646AD" w:rsidRPr="00AF5F00" w:rsidRDefault="00F646AD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C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类019776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鹏华产业精选灵活配置混合型证券投资基金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类006526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C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类012997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鹏华优选回报灵活配置混合型证券投资基金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类006976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C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类017732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鹏华核心优势混合型证券投资基金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008811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鹏华科技创新混合型证券投资基金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008132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鹏华价值驱动混合型证券投资基金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A类016952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C类016953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鹏华中证港股通消费主题交易型开放式指数证券投资基金联接基金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</w:t>
            </w: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、赎回、定期定额投资</w:t>
            </w:r>
          </w:p>
        </w:tc>
      </w:tr>
      <w:tr w:rsidR="00DD1795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513590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鹏华中证港股通消费主题交易型开放式指数证券投资基金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</w:t>
            </w: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、赎回</w:t>
            </w:r>
          </w:p>
        </w:tc>
      </w:tr>
      <w:tr w:rsidR="00DD1795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513700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鹏华中证港股通医药卫生综合交易型开放式指数证券投资基金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</w:t>
            </w: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、赎回</w:t>
            </w:r>
          </w:p>
        </w:tc>
      </w:tr>
      <w:tr w:rsidR="00DD1795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="宋体" w:hAnsi="宋体"/>
                <w:sz w:val="21"/>
                <w:szCs w:val="21"/>
              </w:rPr>
              <w:t>159751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="宋体" w:hAnsi="宋体" w:cs="宋体" w:hint="eastAsia"/>
                <w:sz w:val="21"/>
                <w:szCs w:val="21"/>
              </w:rPr>
              <w:t>鹏华中证港股通科技交易型开放式指数证券投资基金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</w:t>
            </w: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、赎回</w:t>
            </w:r>
          </w:p>
        </w:tc>
      </w:tr>
    </w:tbl>
    <w:p w:rsidR="00015547" w:rsidRPr="00AF5F00" w:rsidRDefault="00015547" w:rsidP="00FD1AC0">
      <w:pPr>
        <w:widowControl w:val="0"/>
        <w:rPr>
          <w:rFonts w:asciiTheme="minorEastAsia" w:eastAsiaTheme="minorEastAsia" w:hAnsiTheme="minorEastAsia"/>
          <w:sz w:val="21"/>
          <w:szCs w:val="21"/>
        </w:rPr>
      </w:pPr>
    </w:p>
    <w:p w:rsidR="00B66560" w:rsidRPr="00AF5F00" w:rsidRDefault="00D878F5" w:rsidP="00DD1795">
      <w:pPr>
        <w:widowControl w:val="0"/>
        <w:spacing w:line="360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b/>
          <w:sz w:val="21"/>
          <w:szCs w:val="21"/>
        </w:rPr>
        <w:t>二</w:t>
      </w:r>
      <w:r w:rsidRPr="00AF5F00">
        <w:rPr>
          <w:rFonts w:asciiTheme="minorEastAsia" w:eastAsiaTheme="minorEastAsia" w:hAnsiTheme="minorEastAsia"/>
          <w:b/>
          <w:sz w:val="21"/>
          <w:szCs w:val="21"/>
        </w:rPr>
        <w:t>、</w:t>
      </w:r>
      <w:r w:rsidR="00B66560" w:rsidRPr="00AF5F00">
        <w:rPr>
          <w:rFonts w:asciiTheme="minorEastAsia" w:eastAsiaTheme="minorEastAsia" w:hAnsiTheme="minorEastAsia"/>
          <w:b/>
          <w:sz w:val="21"/>
          <w:szCs w:val="21"/>
        </w:rPr>
        <w:t>其他需要提示的事项</w:t>
      </w:r>
    </w:p>
    <w:p w:rsidR="001B7A82" w:rsidRPr="00AF5F00" w:rsidRDefault="00D878F5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/>
          <w:sz w:val="21"/>
          <w:szCs w:val="21"/>
        </w:rPr>
        <w:t>1、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上述</w:t>
      </w:r>
      <w:r w:rsidRPr="00AF5F00">
        <w:rPr>
          <w:rFonts w:asciiTheme="minorEastAsia" w:eastAsiaTheme="minorEastAsia" w:hAnsiTheme="minorEastAsia"/>
          <w:sz w:val="21"/>
          <w:szCs w:val="21"/>
        </w:rPr>
        <w:t>基金是否开通申购、赎回、转换和定期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定额</w:t>
      </w:r>
      <w:r w:rsidRPr="00AF5F00">
        <w:rPr>
          <w:rFonts w:asciiTheme="minorEastAsia" w:eastAsiaTheme="minorEastAsia" w:hAnsiTheme="minorEastAsia"/>
          <w:sz w:val="21"/>
          <w:szCs w:val="21"/>
        </w:rPr>
        <w:t>投资业务，详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见</w:t>
      </w:r>
      <w:r w:rsidR="003921EB" w:rsidRPr="00AF5F00">
        <w:rPr>
          <w:rFonts w:asciiTheme="minorEastAsia" w:eastAsiaTheme="minorEastAsia" w:hAnsiTheme="minorEastAsia" w:hint="eastAsia"/>
          <w:sz w:val="21"/>
          <w:szCs w:val="21"/>
        </w:rPr>
        <w:t>本公司</w:t>
      </w:r>
      <w:r w:rsidRPr="00AF5F00">
        <w:rPr>
          <w:rFonts w:asciiTheme="minorEastAsia" w:eastAsiaTheme="minorEastAsia" w:hAnsiTheme="minorEastAsia"/>
          <w:sz w:val="21"/>
          <w:szCs w:val="21"/>
        </w:rPr>
        <w:t>发布的相关公告；</w:t>
      </w:r>
    </w:p>
    <w:p w:rsidR="00D878F5" w:rsidRPr="00AF5F00" w:rsidRDefault="001B7A82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/>
          <w:sz w:val="21"/>
          <w:szCs w:val="21"/>
        </w:rPr>
        <w:t>2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、上述部分</w:t>
      </w:r>
      <w:r w:rsidRPr="00AF5F00">
        <w:rPr>
          <w:rFonts w:asciiTheme="minorEastAsia" w:eastAsiaTheme="minorEastAsia" w:hAnsiTheme="minorEastAsia"/>
          <w:sz w:val="21"/>
          <w:szCs w:val="21"/>
        </w:rPr>
        <w:t>基金如有在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上海证券交易所或深圳证券交易所上市</w:t>
      </w:r>
      <w:r w:rsidRPr="00AF5F00">
        <w:rPr>
          <w:rFonts w:asciiTheme="minorEastAsia" w:eastAsiaTheme="minorEastAsia" w:hAnsiTheme="minorEastAsia"/>
          <w:sz w:val="21"/>
          <w:szCs w:val="21"/>
        </w:rPr>
        <w:t>交易，则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在上海证券交易所、深圳证券交易所</w:t>
      </w:r>
      <w:r w:rsidR="0076318F" w:rsidRPr="00AF5F00">
        <w:rPr>
          <w:rFonts w:asciiTheme="minorEastAsia" w:eastAsiaTheme="minorEastAsia" w:hAnsiTheme="minorEastAsia" w:hint="eastAsia"/>
          <w:sz w:val="21"/>
          <w:szCs w:val="21"/>
        </w:rPr>
        <w:t>正常交易日的交易时间投资者仍可进行二级市场交易；</w:t>
      </w:r>
    </w:p>
    <w:p w:rsidR="00D878F5" w:rsidRPr="00AF5F00" w:rsidRDefault="001B7A82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/>
          <w:sz w:val="21"/>
          <w:szCs w:val="21"/>
        </w:rPr>
        <w:t>3</w:t>
      </w:r>
      <w:r w:rsidR="00D878F5" w:rsidRPr="00AF5F00">
        <w:rPr>
          <w:rFonts w:asciiTheme="minorEastAsia" w:eastAsiaTheme="minorEastAsia" w:hAnsiTheme="minorEastAsia" w:hint="eastAsia"/>
          <w:sz w:val="21"/>
          <w:szCs w:val="21"/>
        </w:rPr>
        <w:t>、本公告主要为非港股通交易日暂停及后续恢复相关业务的说明，如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遇上述基金因其他原因暂停相关业务的，具体业务办理以相关公告为准。</w:t>
      </w:r>
    </w:p>
    <w:p w:rsidR="00B66560" w:rsidRPr="00AF5F00" w:rsidRDefault="00B66560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sz w:val="21"/>
          <w:szCs w:val="21"/>
        </w:rPr>
        <w:t>投资者可登录本基金管理人网站（www.phfund.com</w:t>
      </w:r>
      <w:r w:rsidR="004C73CD" w:rsidRPr="00AF5F00">
        <w:rPr>
          <w:rFonts w:asciiTheme="minorEastAsia" w:eastAsiaTheme="minorEastAsia" w:hAnsiTheme="minorEastAsia"/>
          <w:sz w:val="21"/>
          <w:szCs w:val="21"/>
        </w:rPr>
        <w:t>.cn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），或拨打客户服务电话（400-6788-533）咨询相关信息。</w:t>
      </w:r>
    </w:p>
    <w:p w:rsidR="00D878F5" w:rsidRPr="00AF5F00" w:rsidRDefault="00D878F5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66560" w:rsidRPr="00AF5F00" w:rsidRDefault="00B66560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sz w:val="21"/>
          <w:szCs w:val="21"/>
        </w:rPr>
        <w:t>风险提示：本公司承诺以诚实信用、勤勉尽责的原则管理和运用基金资产，但不保证基金一定盈利，也不保证最低收益，敬请投资者注意投资风险。</w:t>
      </w:r>
      <w:r w:rsidR="00563BD8" w:rsidRPr="00563BD8">
        <w:rPr>
          <w:rFonts w:asciiTheme="minorEastAsia" w:eastAsiaTheme="minorEastAsia" w:hAnsiTheme="minorEastAsia" w:hint="eastAsia"/>
          <w:sz w:val="21"/>
          <w:szCs w:val="21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投资者投资于本基金前应认真阅读基金的基金合同、招募说明书（更新）、基金产品资料概要（更新）等文件，并根据自身风险承受能力选择适合自己的基金产品。</w:t>
      </w:r>
    </w:p>
    <w:p w:rsidR="00B66560" w:rsidRPr="00AF5F00" w:rsidRDefault="00B66560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sz w:val="21"/>
          <w:szCs w:val="21"/>
        </w:rPr>
        <w:t>特此公告。</w:t>
      </w:r>
    </w:p>
    <w:p w:rsidR="00B66560" w:rsidRPr="00AF5F00" w:rsidRDefault="00B66560" w:rsidP="00B66560">
      <w:pPr>
        <w:widowControl w:val="0"/>
        <w:rPr>
          <w:rFonts w:asciiTheme="minorEastAsia" w:eastAsiaTheme="minorEastAsia" w:hAnsiTheme="minorEastAsia"/>
          <w:sz w:val="21"/>
          <w:szCs w:val="21"/>
        </w:rPr>
      </w:pPr>
    </w:p>
    <w:p w:rsidR="00B66560" w:rsidRPr="00AF5F00" w:rsidRDefault="00B66560" w:rsidP="00B66560">
      <w:pPr>
        <w:widowControl w:val="0"/>
        <w:spacing w:line="336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cs="宋体"/>
          <w:sz w:val="21"/>
          <w:szCs w:val="21"/>
        </w:rPr>
        <w:t>鹏华基金管理有限公司</w:t>
      </w:r>
    </w:p>
    <w:p w:rsidR="00B66560" w:rsidRPr="00DD1795" w:rsidRDefault="008C7B7F" w:rsidP="00B66560">
      <w:pPr>
        <w:widowControl w:val="0"/>
        <w:spacing w:line="336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cs="宋体"/>
          <w:sz w:val="21"/>
          <w:szCs w:val="21"/>
        </w:rPr>
        <w:t>202</w:t>
      </w:r>
      <w:r w:rsidR="00AF5F00" w:rsidRPr="00AF5F00">
        <w:rPr>
          <w:rFonts w:asciiTheme="minorEastAsia" w:eastAsiaTheme="minorEastAsia" w:hAnsiTheme="minorEastAsia" w:cs="宋体" w:hint="eastAsia"/>
          <w:sz w:val="21"/>
          <w:szCs w:val="21"/>
        </w:rPr>
        <w:t>4</w:t>
      </w:r>
      <w:r w:rsidR="00B66560" w:rsidRPr="00AF5F00">
        <w:rPr>
          <w:rFonts w:asciiTheme="minorEastAsia" w:eastAsiaTheme="minorEastAsia" w:hAnsiTheme="minorEastAsia" w:cs="宋体"/>
          <w:sz w:val="21"/>
          <w:szCs w:val="21"/>
        </w:rPr>
        <w:t>年</w:t>
      </w:r>
      <w:r w:rsidR="002F7A47">
        <w:rPr>
          <w:rFonts w:asciiTheme="minorEastAsia" w:eastAsiaTheme="minorEastAsia" w:hAnsiTheme="minorEastAsia" w:cs="宋体" w:hint="eastAsia"/>
          <w:sz w:val="21"/>
          <w:szCs w:val="21"/>
        </w:rPr>
        <w:t>5</w:t>
      </w:r>
      <w:r w:rsidR="00B66560" w:rsidRPr="00AF5F00">
        <w:rPr>
          <w:rFonts w:asciiTheme="minorEastAsia" w:eastAsiaTheme="minorEastAsia" w:hAnsiTheme="minorEastAsia" w:cs="宋体"/>
          <w:sz w:val="21"/>
          <w:szCs w:val="21"/>
        </w:rPr>
        <w:t>月</w:t>
      </w:r>
      <w:r w:rsidR="002F7A47">
        <w:rPr>
          <w:rFonts w:asciiTheme="minorEastAsia" w:eastAsiaTheme="minorEastAsia" w:hAnsiTheme="minorEastAsia" w:cs="宋体" w:hint="eastAsia"/>
          <w:sz w:val="21"/>
          <w:szCs w:val="21"/>
        </w:rPr>
        <w:t>13</w:t>
      </w:r>
      <w:r w:rsidR="00B66560" w:rsidRPr="00AF5F00">
        <w:rPr>
          <w:rFonts w:asciiTheme="minorEastAsia" w:eastAsiaTheme="minorEastAsia" w:hAnsiTheme="minorEastAsia" w:cs="宋体"/>
          <w:sz w:val="21"/>
          <w:szCs w:val="21"/>
        </w:rPr>
        <w:t>日</w:t>
      </w:r>
    </w:p>
    <w:p w:rsidR="00B66560" w:rsidRPr="00DD1795" w:rsidRDefault="00B66560" w:rsidP="00FD1AC0">
      <w:pPr>
        <w:widowControl w:val="0"/>
        <w:rPr>
          <w:rFonts w:asciiTheme="minorEastAsia" w:eastAsiaTheme="minorEastAsia" w:hAnsiTheme="minorEastAsia"/>
          <w:sz w:val="21"/>
          <w:szCs w:val="21"/>
        </w:rPr>
      </w:pPr>
      <w:bookmarkStart w:id="1" w:name="_GoBack"/>
      <w:bookmarkEnd w:id="1"/>
    </w:p>
    <w:sectPr w:rsidR="00B66560" w:rsidRPr="00DD1795" w:rsidSect="00065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A6" w:rsidRDefault="001C22A6" w:rsidP="00FD1AC0">
      <w:r>
        <w:separator/>
      </w:r>
    </w:p>
  </w:endnote>
  <w:endnote w:type="continuationSeparator" w:id="0">
    <w:p w:rsidR="001C22A6" w:rsidRDefault="001C22A6" w:rsidP="00FD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A6" w:rsidRDefault="001C22A6" w:rsidP="00FD1AC0">
      <w:r>
        <w:separator/>
      </w:r>
    </w:p>
  </w:footnote>
  <w:footnote w:type="continuationSeparator" w:id="0">
    <w:p w:rsidR="001C22A6" w:rsidRDefault="001C22A6" w:rsidP="00FD1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872"/>
    <w:rsid w:val="00015547"/>
    <w:rsid w:val="00065181"/>
    <w:rsid w:val="000B1F9E"/>
    <w:rsid w:val="000E4E52"/>
    <w:rsid w:val="00193DA9"/>
    <w:rsid w:val="001B7A82"/>
    <w:rsid w:val="001C22A6"/>
    <w:rsid w:val="00230D8B"/>
    <w:rsid w:val="002A780E"/>
    <w:rsid w:val="002B4B6E"/>
    <w:rsid w:val="002F5DA1"/>
    <w:rsid w:val="002F7A47"/>
    <w:rsid w:val="00373872"/>
    <w:rsid w:val="003921EB"/>
    <w:rsid w:val="004C73CD"/>
    <w:rsid w:val="004F0094"/>
    <w:rsid w:val="00515FB0"/>
    <w:rsid w:val="005203A0"/>
    <w:rsid w:val="00563BD8"/>
    <w:rsid w:val="00575C29"/>
    <w:rsid w:val="006111F0"/>
    <w:rsid w:val="0066205D"/>
    <w:rsid w:val="006F7E3D"/>
    <w:rsid w:val="00702E82"/>
    <w:rsid w:val="007239B4"/>
    <w:rsid w:val="0076318F"/>
    <w:rsid w:val="007762F9"/>
    <w:rsid w:val="007A0992"/>
    <w:rsid w:val="00814D49"/>
    <w:rsid w:val="008B3E71"/>
    <w:rsid w:val="008C7B7F"/>
    <w:rsid w:val="00961E8A"/>
    <w:rsid w:val="00A104AA"/>
    <w:rsid w:val="00A157C2"/>
    <w:rsid w:val="00A175DA"/>
    <w:rsid w:val="00A71606"/>
    <w:rsid w:val="00AC6472"/>
    <w:rsid w:val="00AF5F00"/>
    <w:rsid w:val="00B02252"/>
    <w:rsid w:val="00B42C4B"/>
    <w:rsid w:val="00B66560"/>
    <w:rsid w:val="00BB7EB5"/>
    <w:rsid w:val="00C4031B"/>
    <w:rsid w:val="00CB6BFC"/>
    <w:rsid w:val="00D654C1"/>
    <w:rsid w:val="00D878F5"/>
    <w:rsid w:val="00DD1795"/>
    <w:rsid w:val="00E73194"/>
    <w:rsid w:val="00F40E26"/>
    <w:rsid w:val="00F646AD"/>
    <w:rsid w:val="00F67002"/>
    <w:rsid w:val="00FA722E"/>
    <w:rsid w:val="00FB388B"/>
    <w:rsid w:val="00FD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0"/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FD1A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A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AC0"/>
    <w:rPr>
      <w:sz w:val="18"/>
      <w:szCs w:val="18"/>
    </w:rPr>
  </w:style>
  <w:style w:type="character" w:customStyle="1" w:styleId="2Char">
    <w:name w:val="标题 2 Char"/>
    <w:basedOn w:val="a0"/>
    <w:link w:val="2"/>
    <w:rsid w:val="00FD1AC0"/>
    <w:rPr>
      <w:rFonts w:ascii="Arial" w:eastAsia="宋体" w:hAnsi="Arial" w:cs="Arial"/>
      <w:b/>
      <w:bCs/>
      <w:i/>
      <w:iCs/>
      <w:kern w:val="0"/>
      <w:sz w:val="28"/>
      <w:szCs w:val="28"/>
    </w:rPr>
  </w:style>
  <w:style w:type="table" w:styleId="a5">
    <w:name w:val="Table Grid"/>
    <w:basedOn w:val="a1"/>
    <w:uiPriority w:val="39"/>
    <w:rsid w:val="00F40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42C4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42C4B"/>
  </w:style>
  <w:style w:type="character" w:customStyle="1" w:styleId="Char1">
    <w:name w:val="批注文字 Char"/>
    <w:basedOn w:val="a0"/>
    <w:link w:val="a7"/>
    <w:uiPriority w:val="99"/>
    <w:semiHidden/>
    <w:rsid w:val="00B42C4B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42C4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42C4B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B42C4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42C4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4</DocSecurity>
  <Lines>11</Lines>
  <Paragraphs>3</Paragraphs>
  <ScaleCrop>false</ScaleCrop>
  <Company>PHFUND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dc:description/>
  <cp:lastModifiedBy>ZHONGM</cp:lastModifiedBy>
  <cp:revision>2</cp:revision>
  <dcterms:created xsi:type="dcterms:W3CDTF">2024-05-12T16:02:00Z</dcterms:created>
  <dcterms:modified xsi:type="dcterms:W3CDTF">2024-05-12T16:02:00Z</dcterms:modified>
</cp:coreProperties>
</file>