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DD" w:rsidRDefault="00B663DD">
      <w:pPr>
        <w:spacing w:line="360" w:lineRule="auto"/>
        <w:jc w:val="center"/>
        <w:rPr>
          <w:rFonts w:ascii="宋体" w:hAnsi="宋体"/>
          <w:b/>
          <w:sz w:val="52"/>
        </w:rPr>
      </w:pPr>
    </w:p>
    <w:p w:rsidR="00B663DD" w:rsidRDefault="00B663DD">
      <w:pPr>
        <w:spacing w:line="360" w:lineRule="auto"/>
        <w:jc w:val="center"/>
        <w:rPr>
          <w:rFonts w:ascii="宋体" w:hAnsi="宋体"/>
          <w:b/>
          <w:sz w:val="52"/>
        </w:rPr>
      </w:pPr>
    </w:p>
    <w:p w:rsidR="00B663DD" w:rsidRDefault="00227883">
      <w:pPr>
        <w:spacing w:line="360" w:lineRule="auto"/>
        <w:jc w:val="center"/>
        <w:rPr>
          <w:rFonts w:ascii="宋体" w:hAnsi="宋体"/>
          <w:b/>
          <w:bCs/>
          <w:sz w:val="36"/>
          <w:szCs w:val="36"/>
        </w:rPr>
      </w:pPr>
      <w:r>
        <w:rPr>
          <w:rFonts w:ascii="宋体" w:hAnsi="宋体" w:hint="eastAsia"/>
          <w:b/>
          <w:color w:val="000000"/>
          <w:sz w:val="36"/>
        </w:rPr>
        <w:t>天弘金融优选混合型发起式证券投资基金</w:t>
      </w:r>
      <w:r>
        <w:rPr>
          <w:rFonts w:ascii="宋体" w:hAnsi="宋体" w:hint="eastAsia"/>
          <w:b/>
          <w:bCs/>
          <w:sz w:val="36"/>
          <w:szCs w:val="36"/>
        </w:rPr>
        <w:t>基金份额发售公告</w:t>
      </w:r>
    </w:p>
    <w:p w:rsidR="00B663DD" w:rsidRDefault="00B663DD">
      <w:pPr>
        <w:spacing w:line="360" w:lineRule="auto"/>
        <w:jc w:val="center"/>
        <w:rPr>
          <w:rFonts w:ascii="宋体" w:hAnsi="宋体"/>
          <w:b/>
          <w:sz w:val="52"/>
        </w:rPr>
      </w:pPr>
    </w:p>
    <w:p w:rsidR="00B663DD" w:rsidRDefault="00B663DD">
      <w:pPr>
        <w:spacing w:line="360" w:lineRule="auto"/>
        <w:jc w:val="center"/>
        <w:rPr>
          <w:rFonts w:ascii="宋体" w:hAnsi="宋体"/>
          <w:b/>
          <w:sz w:val="52"/>
        </w:rPr>
      </w:pPr>
      <w:bookmarkStart w:id="0" w:name="_GoBack"/>
      <w:bookmarkEnd w:id="0"/>
    </w:p>
    <w:p w:rsidR="00B663DD" w:rsidRDefault="00B663DD">
      <w:pPr>
        <w:spacing w:line="360" w:lineRule="auto"/>
        <w:jc w:val="center"/>
        <w:rPr>
          <w:rFonts w:ascii="宋体" w:hAnsi="宋体"/>
          <w:b/>
          <w:sz w:val="52"/>
        </w:rPr>
      </w:pPr>
    </w:p>
    <w:p w:rsidR="00B663DD" w:rsidRDefault="00B663DD">
      <w:pPr>
        <w:spacing w:line="360" w:lineRule="auto"/>
        <w:jc w:val="center"/>
        <w:rPr>
          <w:rFonts w:ascii="宋体" w:hAnsi="宋体"/>
          <w:b/>
          <w:sz w:val="52"/>
        </w:rPr>
      </w:pPr>
    </w:p>
    <w:p w:rsidR="00B663DD" w:rsidRDefault="00B663DD">
      <w:pPr>
        <w:spacing w:line="360" w:lineRule="auto"/>
        <w:jc w:val="center"/>
        <w:rPr>
          <w:rFonts w:ascii="宋体" w:hAnsi="宋体"/>
          <w:b/>
          <w:sz w:val="52"/>
        </w:rPr>
      </w:pPr>
    </w:p>
    <w:p w:rsidR="00B663DD" w:rsidRDefault="00B663DD">
      <w:pPr>
        <w:spacing w:line="360" w:lineRule="auto"/>
        <w:jc w:val="center"/>
        <w:rPr>
          <w:rFonts w:ascii="宋体" w:hAnsi="宋体"/>
          <w:b/>
          <w:sz w:val="52"/>
        </w:rPr>
      </w:pPr>
    </w:p>
    <w:p w:rsidR="00B663DD" w:rsidRDefault="00B663DD">
      <w:pPr>
        <w:spacing w:line="360" w:lineRule="auto"/>
        <w:jc w:val="center"/>
        <w:rPr>
          <w:rFonts w:ascii="宋体" w:hAnsi="宋体"/>
          <w:b/>
          <w:sz w:val="52"/>
        </w:rPr>
      </w:pPr>
    </w:p>
    <w:p w:rsidR="00B663DD" w:rsidRDefault="00B663DD">
      <w:pPr>
        <w:spacing w:line="360" w:lineRule="auto"/>
        <w:rPr>
          <w:rFonts w:ascii="宋体" w:hAnsi="宋体"/>
          <w:b/>
        </w:rPr>
      </w:pPr>
    </w:p>
    <w:p w:rsidR="00B663DD" w:rsidRDefault="00227883">
      <w:pPr>
        <w:spacing w:line="360" w:lineRule="auto"/>
        <w:jc w:val="center"/>
        <w:rPr>
          <w:rFonts w:ascii="宋体" w:hAnsi="宋体"/>
          <w:b/>
          <w:sz w:val="28"/>
          <w:szCs w:val="28"/>
        </w:rPr>
      </w:pPr>
      <w:bookmarkStart w:id="1" w:name="_Toc125357198"/>
      <w:r>
        <w:rPr>
          <w:rFonts w:ascii="宋体" w:hAnsi="宋体" w:hint="eastAsia"/>
          <w:b/>
          <w:sz w:val="28"/>
          <w:szCs w:val="28"/>
        </w:rPr>
        <w:t>基金管理人：天弘基金管理有限公司</w:t>
      </w:r>
      <w:bookmarkEnd w:id="1"/>
    </w:p>
    <w:p w:rsidR="00B663DD" w:rsidRDefault="00227883">
      <w:pPr>
        <w:spacing w:line="360" w:lineRule="auto"/>
        <w:jc w:val="center"/>
        <w:rPr>
          <w:rFonts w:ascii="宋体" w:hAnsi="宋体"/>
        </w:rPr>
      </w:pPr>
      <w:bookmarkStart w:id="2" w:name="_Toc125357199"/>
      <w:r>
        <w:rPr>
          <w:rFonts w:ascii="宋体" w:hAnsi="宋体" w:hint="eastAsia"/>
          <w:b/>
          <w:sz w:val="28"/>
          <w:szCs w:val="28"/>
        </w:rPr>
        <w:t>基金托管人：</w:t>
      </w:r>
      <w:bookmarkEnd w:id="2"/>
      <w:r>
        <w:rPr>
          <w:rFonts w:ascii="宋体" w:hAnsi="宋体" w:hint="eastAsia"/>
          <w:b/>
          <w:sz w:val="28"/>
          <w:szCs w:val="28"/>
        </w:rPr>
        <w:t>平安银行股份有限公司</w:t>
      </w:r>
    </w:p>
    <w:p w:rsidR="00B663DD" w:rsidRDefault="00227883">
      <w:pPr>
        <w:widowControl w:val="0"/>
        <w:spacing w:line="360" w:lineRule="auto"/>
        <w:jc w:val="center"/>
        <w:rPr>
          <w:rFonts w:ascii="宋体" w:hAnsi="宋体"/>
          <w:b/>
          <w:color w:val="000000"/>
          <w:kern w:val="2"/>
          <w:sz w:val="28"/>
        </w:rPr>
      </w:pPr>
      <w:r>
        <w:rPr>
          <w:rFonts w:ascii="宋体" w:hAnsi="宋体"/>
        </w:rPr>
        <w:br w:type="page"/>
      </w:r>
      <w:r>
        <w:rPr>
          <w:rFonts w:ascii="宋体" w:hAnsi="宋体"/>
          <w:b/>
          <w:color w:val="000000"/>
          <w:kern w:val="2"/>
          <w:sz w:val="28"/>
        </w:rPr>
        <w:lastRenderedPageBreak/>
        <w:t>重要提示</w:t>
      </w:r>
    </w:p>
    <w:p w:rsidR="00B663DD" w:rsidRDefault="00227883">
      <w:pPr>
        <w:spacing w:line="360" w:lineRule="auto"/>
        <w:ind w:firstLineChars="200" w:firstLine="480"/>
        <w:jc w:val="both"/>
        <w:rPr>
          <w:rFonts w:ascii="宋体" w:hAnsi="宋体"/>
        </w:rPr>
      </w:pPr>
      <w:r>
        <w:rPr>
          <w:rFonts w:ascii="宋体" w:hAnsi="宋体" w:hint="eastAsia"/>
          <w:color w:val="000000"/>
        </w:rPr>
        <w:t>1</w:t>
      </w:r>
      <w:r>
        <w:rPr>
          <w:rFonts w:ascii="宋体" w:hAnsi="宋体" w:hint="eastAsia"/>
          <w:color w:val="000000"/>
        </w:rPr>
        <w:t>、天弘金融优选混合型发起式证券投资基金</w:t>
      </w:r>
      <w:r>
        <w:rPr>
          <w:rFonts w:ascii="宋体" w:hAnsi="宋体" w:hint="eastAsia"/>
        </w:rPr>
        <w:t>（以下简称“本基金”）已</w:t>
      </w:r>
      <w:r>
        <w:rPr>
          <w:rFonts w:ascii="宋体" w:hAnsi="宋体" w:hint="eastAsia"/>
          <w:color w:val="000000"/>
        </w:rPr>
        <w:t>获中国证监会</w:t>
      </w:r>
      <w:r>
        <w:rPr>
          <w:rFonts w:ascii="宋体" w:hAnsi="宋体" w:hint="eastAsia"/>
          <w:color w:val="000000"/>
        </w:rPr>
        <w:t>2023</w:t>
      </w:r>
      <w:r>
        <w:rPr>
          <w:rFonts w:ascii="宋体" w:hAnsi="宋体" w:hint="eastAsia"/>
          <w:color w:val="000000"/>
        </w:rPr>
        <w:t>年</w:t>
      </w:r>
      <w:r>
        <w:rPr>
          <w:rFonts w:ascii="宋体" w:hAnsi="宋体" w:hint="eastAsia"/>
          <w:color w:val="000000"/>
        </w:rPr>
        <w:t>11</w:t>
      </w:r>
      <w:r>
        <w:rPr>
          <w:rFonts w:ascii="宋体" w:hAnsi="宋体" w:hint="eastAsia"/>
          <w:color w:val="000000"/>
        </w:rPr>
        <w:t>月</w:t>
      </w:r>
      <w:r>
        <w:rPr>
          <w:rFonts w:ascii="宋体" w:hAnsi="宋体" w:hint="eastAsia"/>
          <w:color w:val="000000"/>
        </w:rPr>
        <w:t>15</w:t>
      </w:r>
      <w:r>
        <w:rPr>
          <w:rFonts w:ascii="宋体" w:hAnsi="宋体" w:hint="eastAsia"/>
          <w:color w:val="000000"/>
        </w:rPr>
        <w:t>日证监许可【</w:t>
      </w:r>
      <w:r>
        <w:rPr>
          <w:rFonts w:ascii="宋体" w:hAnsi="宋体" w:hint="eastAsia"/>
          <w:color w:val="000000"/>
        </w:rPr>
        <w:t>2023</w:t>
      </w:r>
      <w:r>
        <w:rPr>
          <w:rFonts w:ascii="宋体" w:hAnsi="宋体" w:hint="eastAsia"/>
          <w:color w:val="000000"/>
        </w:rPr>
        <w:t>】</w:t>
      </w:r>
      <w:r>
        <w:rPr>
          <w:rFonts w:ascii="宋体" w:hAnsi="宋体" w:hint="eastAsia"/>
          <w:color w:val="000000"/>
        </w:rPr>
        <w:t>2592</w:t>
      </w:r>
      <w:r>
        <w:rPr>
          <w:rFonts w:ascii="宋体" w:hAnsi="宋体" w:hint="eastAsia"/>
          <w:color w:val="000000"/>
        </w:rPr>
        <w:t>号文准予注册募集</w:t>
      </w:r>
      <w:r>
        <w:rPr>
          <w:rFonts w:ascii="宋体" w:hAnsi="宋体" w:hint="eastAsia"/>
        </w:rPr>
        <w:t>。中国证监会对本基金的注册并不代表中国证监会对本基金的风险和收益作出实质性判断、推荐或者保证。</w:t>
      </w:r>
    </w:p>
    <w:p w:rsidR="00B663DD" w:rsidRDefault="00227883">
      <w:pPr>
        <w:spacing w:line="360" w:lineRule="auto"/>
        <w:ind w:firstLineChars="200" w:firstLine="480"/>
        <w:jc w:val="both"/>
        <w:rPr>
          <w:rFonts w:ascii="宋体" w:hAnsi="宋体"/>
        </w:rPr>
      </w:pPr>
      <w:r>
        <w:rPr>
          <w:rFonts w:ascii="宋体" w:hAnsi="宋体"/>
        </w:rPr>
        <w:t>2</w:t>
      </w:r>
      <w:r>
        <w:rPr>
          <w:rFonts w:ascii="宋体" w:hAnsi="宋体"/>
        </w:rPr>
        <w:t>、</w:t>
      </w:r>
      <w:r>
        <w:rPr>
          <w:rFonts w:ascii="宋体" w:hAnsi="宋体" w:hint="eastAsia"/>
        </w:rPr>
        <w:t>本基金的基金管理人和登记机构为天弘基金管理有限公司（以下简称“本公司”），基金托管人为平安银行股份有限公司</w:t>
      </w:r>
      <w:r>
        <w:rPr>
          <w:rFonts w:ascii="宋体" w:hAnsi="宋体"/>
        </w:rPr>
        <w:t>。</w:t>
      </w:r>
    </w:p>
    <w:p w:rsidR="00B663DD" w:rsidRDefault="00227883">
      <w:pPr>
        <w:spacing w:line="360" w:lineRule="auto"/>
        <w:ind w:firstLineChars="200" w:firstLine="480"/>
        <w:jc w:val="both"/>
        <w:rPr>
          <w:rFonts w:ascii="宋体" w:hAnsi="宋体"/>
        </w:rPr>
      </w:pPr>
      <w:r>
        <w:rPr>
          <w:rFonts w:ascii="宋体" w:hAnsi="宋体" w:hint="eastAsia"/>
        </w:rPr>
        <w:t>3</w:t>
      </w:r>
      <w:r>
        <w:rPr>
          <w:rFonts w:ascii="宋体" w:hAnsi="宋体"/>
        </w:rPr>
        <w:t>、</w:t>
      </w:r>
      <w:r>
        <w:rPr>
          <w:rFonts w:ascii="宋体" w:hAnsi="宋体" w:hint="eastAsia"/>
        </w:rPr>
        <w:t>本</w:t>
      </w:r>
      <w:r>
        <w:rPr>
          <w:rFonts w:ascii="宋体" w:hAnsi="宋体"/>
        </w:rPr>
        <w:t>基金</w:t>
      </w:r>
      <w:r>
        <w:rPr>
          <w:rFonts w:ascii="宋体" w:hAnsi="宋体" w:hint="eastAsia"/>
        </w:rPr>
        <w:t>类型为混合型证券投资基金。基金运作方式为契约型开放式</w:t>
      </w:r>
      <w:r>
        <w:rPr>
          <w:rFonts w:ascii="宋体" w:hAnsi="宋体"/>
        </w:rPr>
        <w:t>。</w:t>
      </w:r>
    </w:p>
    <w:p w:rsidR="00B663DD" w:rsidRDefault="00227883">
      <w:pPr>
        <w:spacing w:line="360" w:lineRule="auto"/>
        <w:ind w:firstLineChars="200" w:firstLine="480"/>
        <w:jc w:val="both"/>
        <w:rPr>
          <w:rFonts w:ascii="宋体" w:hAnsi="宋体"/>
        </w:rPr>
      </w:pPr>
      <w:r>
        <w:rPr>
          <w:rFonts w:ascii="宋体" w:hAnsi="宋体" w:hint="eastAsia"/>
        </w:rPr>
        <w:t>本基金为发起式基金，基金的最低募集金额为</w:t>
      </w:r>
      <w:r>
        <w:rPr>
          <w:rFonts w:ascii="宋体" w:hAnsi="宋体" w:hint="eastAsia"/>
        </w:rPr>
        <w:t>1000</w:t>
      </w:r>
      <w:r>
        <w:rPr>
          <w:rFonts w:ascii="宋体" w:hAnsi="宋体" w:hint="eastAsia"/>
        </w:rPr>
        <w:t>万元人民币。发起式基金是指，基金管理人在募集基金时，使用公司股东资金、公司固有资金、公司高级管理人员或者基金经理等人员资金认购基金的金额不少于一千万元人民币，且持有期限不少于三年。发起式基金的基金合同生效满三年之日（指自然日），若基金资产净值低于两亿元的，基金合同自动终止。</w:t>
      </w:r>
    </w:p>
    <w:p w:rsidR="00B663DD" w:rsidRDefault="00227883">
      <w:pPr>
        <w:spacing w:line="360" w:lineRule="auto"/>
        <w:ind w:firstLineChars="200" w:firstLine="480"/>
        <w:jc w:val="both"/>
        <w:rPr>
          <w:rFonts w:ascii="宋体" w:hAnsi="宋体" w:cs="宋体"/>
        </w:rPr>
      </w:pPr>
      <w:r>
        <w:rPr>
          <w:rFonts w:ascii="宋体" w:hAnsi="宋体" w:cs="宋体" w:hint="eastAsia"/>
        </w:rPr>
        <w:t>4</w:t>
      </w:r>
      <w:r>
        <w:rPr>
          <w:rFonts w:ascii="宋体" w:hAnsi="宋体" w:cs="宋体" w:hint="eastAsia"/>
        </w:rPr>
        <w:t>、本基金将基金份额分为</w:t>
      </w:r>
      <w:r>
        <w:rPr>
          <w:rFonts w:ascii="宋体" w:hAnsi="宋体" w:cs="宋体" w:hint="eastAsia"/>
        </w:rPr>
        <w:t>A</w:t>
      </w:r>
      <w:r>
        <w:rPr>
          <w:rFonts w:ascii="宋体" w:hAnsi="宋体" w:cs="宋体" w:hint="eastAsia"/>
        </w:rPr>
        <w:t>类和</w:t>
      </w:r>
      <w:r>
        <w:rPr>
          <w:rFonts w:ascii="宋体" w:hAnsi="宋体" w:cs="宋体" w:hint="eastAsia"/>
        </w:rPr>
        <w:t>C</w:t>
      </w:r>
      <w:r>
        <w:rPr>
          <w:rFonts w:ascii="宋体" w:hAnsi="宋体" w:cs="宋体" w:hint="eastAsia"/>
        </w:rPr>
        <w:t>类不同的类别。</w:t>
      </w:r>
      <w:r>
        <w:rPr>
          <w:rFonts w:ascii="宋体" w:hAnsi="宋体" w:cs="宋体" w:hint="eastAsia"/>
        </w:rPr>
        <w:t>A</w:t>
      </w:r>
      <w:r>
        <w:rPr>
          <w:rFonts w:ascii="宋体" w:hAnsi="宋体" w:cs="宋体" w:hint="eastAsia"/>
        </w:rPr>
        <w:t>类份额在投资人认购、申购基金时收取认购、申购费用，在赎回时根据持有期限收取赎回</w:t>
      </w:r>
      <w:r>
        <w:rPr>
          <w:rFonts w:ascii="宋体" w:hAnsi="宋体" w:cs="宋体" w:hint="eastAsia"/>
        </w:rPr>
        <w:t>费用，并不再从本类别基金资产中计提销售服务费；</w:t>
      </w:r>
      <w:r>
        <w:rPr>
          <w:rFonts w:ascii="宋体" w:hAnsi="宋体" w:cs="宋体" w:hint="eastAsia"/>
        </w:rPr>
        <w:t>C</w:t>
      </w:r>
      <w:r>
        <w:rPr>
          <w:rFonts w:ascii="宋体" w:hAnsi="宋体" w:cs="宋体" w:hint="eastAsia"/>
        </w:rPr>
        <w:t>类基金份额在投资人认购、申购基金时不收取认购、申购费用，在赎回时根据持有期限收取赎回费用，并从本类别基金资产中计提销售服务费。</w:t>
      </w:r>
    </w:p>
    <w:p w:rsidR="00B663DD" w:rsidRDefault="00227883">
      <w:pPr>
        <w:spacing w:line="360" w:lineRule="auto"/>
        <w:ind w:firstLineChars="200" w:firstLine="480"/>
        <w:jc w:val="both"/>
        <w:rPr>
          <w:rFonts w:ascii="宋体" w:hAnsi="宋体"/>
        </w:rPr>
      </w:pPr>
      <w:r>
        <w:rPr>
          <w:rFonts w:ascii="宋体" w:hAnsi="宋体" w:hint="eastAsia"/>
        </w:rPr>
        <w:t>5</w:t>
      </w:r>
      <w:r>
        <w:rPr>
          <w:rFonts w:ascii="宋体" w:hAnsi="宋体" w:hint="eastAsia"/>
        </w:rPr>
        <w:t>、本基金通过本公司直销机构（含直销中心和网上直销系统）和其他销售机构公开发售。</w:t>
      </w:r>
    </w:p>
    <w:p w:rsidR="00B663DD" w:rsidRDefault="00227883">
      <w:pPr>
        <w:spacing w:line="360" w:lineRule="auto"/>
        <w:ind w:firstLineChars="200" w:firstLine="480"/>
        <w:jc w:val="both"/>
        <w:rPr>
          <w:rFonts w:ascii="宋体" w:hAnsi="宋体"/>
        </w:rPr>
      </w:pPr>
      <w:r>
        <w:rPr>
          <w:rFonts w:ascii="宋体" w:hAnsi="宋体"/>
        </w:rPr>
        <w:t>6</w:t>
      </w:r>
      <w:r>
        <w:rPr>
          <w:rFonts w:ascii="宋体" w:hAnsi="宋体" w:hint="eastAsia"/>
        </w:rPr>
        <w:t>、本基金的发售期为</w:t>
      </w:r>
      <w:r>
        <w:rPr>
          <w:rFonts w:ascii="宋体" w:hAnsi="宋体" w:hint="eastAsia"/>
        </w:rPr>
        <w:t>2024</w:t>
      </w:r>
      <w:r>
        <w:rPr>
          <w:rFonts w:ascii="宋体" w:hAnsi="宋体" w:hint="eastAsia"/>
        </w:rPr>
        <w:t>年</w:t>
      </w:r>
      <w:r>
        <w:rPr>
          <w:rFonts w:ascii="宋体" w:hAnsi="宋体" w:hint="eastAsia"/>
        </w:rPr>
        <w:t>5</w:t>
      </w:r>
      <w:r>
        <w:rPr>
          <w:rFonts w:ascii="宋体" w:hAnsi="宋体" w:hint="eastAsia"/>
        </w:rPr>
        <w:t>月</w:t>
      </w:r>
      <w:r>
        <w:rPr>
          <w:rFonts w:ascii="宋体" w:hAnsi="宋体" w:hint="eastAsia"/>
        </w:rPr>
        <w:t>13</w:t>
      </w:r>
      <w:r>
        <w:rPr>
          <w:rFonts w:ascii="宋体" w:hAnsi="宋体" w:hint="eastAsia"/>
        </w:rPr>
        <w:t>日至</w:t>
      </w:r>
      <w:r>
        <w:rPr>
          <w:rFonts w:ascii="宋体" w:hAnsi="宋体" w:hint="eastAsia"/>
        </w:rPr>
        <w:t>2024</w:t>
      </w:r>
      <w:r>
        <w:rPr>
          <w:rFonts w:ascii="宋体" w:hAnsi="宋体" w:hint="eastAsia"/>
        </w:rPr>
        <w:t>年</w:t>
      </w:r>
      <w:r>
        <w:rPr>
          <w:rFonts w:ascii="宋体" w:hAnsi="宋体" w:hint="eastAsia"/>
        </w:rPr>
        <w:t>7</w:t>
      </w:r>
      <w:r>
        <w:rPr>
          <w:rFonts w:ascii="宋体" w:hAnsi="宋体" w:hint="eastAsia"/>
        </w:rPr>
        <w:t>月</w:t>
      </w:r>
      <w:r>
        <w:rPr>
          <w:rFonts w:ascii="宋体" w:hAnsi="宋体" w:hint="eastAsia"/>
        </w:rPr>
        <w:t>12</w:t>
      </w:r>
      <w:r>
        <w:rPr>
          <w:rFonts w:ascii="宋体" w:hAnsi="宋体" w:hint="eastAsia"/>
        </w:rPr>
        <w:t>日。</w:t>
      </w:r>
    </w:p>
    <w:p w:rsidR="00B663DD" w:rsidRDefault="00227883">
      <w:pPr>
        <w:spacing w:line="360" w:lineRule="auto"/>
        <w:ind w:firstLineChars="200" w:firstLine="480"/>
        <w:jc w:val="both"/>
        <w:rPr>
          <w:rFonts w:ascii="宋体" w:hAnsi="宋体"/>
        </w:rPr>
      </w:pPr>
      <w:r>
        <w:rPr>
          <w:rFonts w:ascii="宋体" w:hAnsi="宋体" w:hint="eastAsia"/>
        </w:rPr>
        <w:t>7</w:t>
      </w:r>
      <w:r>
        <w:rPr>
          <w:rFonts w:ascii="宋体" w:hAnsi="宋体" w:hint="eastAsia"/>
        </w:rPr>
        <w:t>、投资者欲认购本基金，须开立本公司基金账户，已经有该类账户的投资者不须另行开立。</w:t>
      </w:r>
    </w:p>
    <w:p w:rsidR="00B663DD" w:rsidRDefault="00227883">
      <w:pPr>
        <w:spacing w:line="360" w:lineRule="auto"/>
        <w:ind w:firstLineChars="200" w:firstLine="480"/>
        <w:jc w:val="both"/>
        <w:rPr>
          <w:rFonts w:ascii="宋体" w:hAnsi="宋体"/>
          <w:color w:val="000000"/>
        </w:rPr>
      </w:pPr>
      <w:r>
        <w:rPr>
          <w:rFonts w:ascii="宋体" w:hAnsi="宋体" w:cs="宋体"/>
        </w:rPr>
        <w:t>8</w:t>
      </w:r>
      <w:r>
        <w:rPr>
          <w:rFonts w:ascii="宋体" w:hAnsi="宋体" w:cs="宋体" w:hint="eastAsia"/>
        </w:rPr>
        <w:t>、</w:t>
      </w:r>
      <w:r>
        <w:rPr>
          <w:rFonts w:ascii="宋体" w:hAnsi="宋体" w:cs="宋体-WinCharSetFFFF-H" w:hint="eastAsia"/>
        </w:rPr>
        <w:t>有效认购款项在募集期间产生的利息将折算为基金份额归基金份额持有人所有，其中利息转份额以登记机构的记录为准。</w:t>
      </w:r>
    </w:p>
    <w:p w:rsidR="00B663DD" w:rsidRDefault="00227883">
      <w:pPr>
        <w:autoSpaceDE w:val="0"/>
        <w:autoSpaceDN w:val="0"/>
        <w:adjustRightInd w:val="0"/>
        <w:spacing w:line="360" w:lineRule="auto"/>
        <w:ind w:firstLineChars="200" w:firstLine="480"/>
        <w:rPr>
          <w:rFonts w:ascii="宋体" w:hAnsi="宋体" w:cs="宋体-WinCharSetFFFF-H"/>
        </w:rPr>
      </w:pPr>
      <w:r>
        <w:rPr>
          <w:rFonts w:ascii="宋体" w:hAnsi="宋体" w:cs="宋体"/>
        </w:rPr>
        <w:t>9</w:t>
      </w:r>
      <w:r>
        <w:rPr>
          <w:rFonts w:ascii="宋体" w:hAnsi="宋体" w:cs="宋体" w:hint="eastAsia"/>
        </w:rPr>
        <w:t>、</w:t>
      </w:r>
      <w:r>
        <w:rPr>
          <w:rFonts w:ascii="宋体" w:hAnsi="宋体" w:cs="宋体-WinCharSetFFFF-H" w:hint="eastAsia"/>
          <w:bCs/>
        </w:rPr>
        <w:t>基金销售机构对认购申请的受理并不代表该申请一定成功，而仅代表销售机构确实接收到认购申请。认购申请的确认以登记机构或基金管理人的确认结果为准。对于认购申请及认购份额的确认情况，投资人应及时查询并妥善行使合法权利，否则，由此产生的投资者任何损失由投资者自行承担。</w:t>
      </w:r>
    </w:p>
    <w:p w:rsidR="00B663DD" w:rsidRDefault="00227883">
      <w:pPr>
        <w:spacing w:line="360" w:lineRule="auto"/>
        <w:ind w:firstLineChars="200" w:firstLine="480"/>
        <w:jc w:val="both"/>
        <w:rPr>
          <w:rFonts w:ascii="宋体" w:hAnsi="宋体" w:cs="宋体-WinCharSetFFFF-H"/>
          <w:bCs/>
        </w:rPr>
      </w:pPr>
      <w:r>
        <w:rPr>
          <w:rFonts w:ascii="宋体" w:hAnsi="宋体" w:cs="宋体"/>
        </w:rPr>
        <w:lastRenderedPageBreak/>
        <w:t>10</w:t>
      </w:r>
      <w:r>
        <w:rPr>
          <w:rFonts w:ascii="宋体" w:hAnsi="宋体" w:cs="宋体"/>
        </w:rPr>
        <w:t>、</w:t>
      </w:r>
      <w:r>
        <w:rPr>
          <w:rFonts w:ascii="宋体" w:hAnsi="宋体" w:cs="宋体" w:hint="eastAsia"/>
        </w:rPr>
        <w:t>本公告仅对本基金发售的有关事项和规定予以说明。投资者欲了解本基金的详细情况，请仔细阅读</w:t>
      </w:r>
      <w:r>
        <w:rPr>
          <w:rFonts w:ascii="宋体" w:hAnsi="宋体" w:cs="宋体"/>
        </w:rPr>
        <w:t>披露在</w:t>
      </w:r>
      <w:r>
        <w:rPr>
          <w:rFonts w:ascii="宋体" w:hAnsi="宋体" w:cs="宋体" w:hint="eastAsia"/>
        </w:rPr>
        <w:t>本公司网站（</w:t>
      </w:r>
      <w:hyperlink r:id="rId7" w:history="1">
        <w:r>
          <w:rPr>
            <w:rFonts w:ascii="宋体" w:hAnsi="宋体" w:cs="宋体" w:hint="eastAsia"/>
          </w:rPr>
          <w:t>www.thfund.com.cn</w:t>
        </w:r>
      </w:hyperlink>
      <w:r>
        <w:rPr>
          <w:rFonts w:ascii="宋体" w:hAnsi="宋体" w:cs="宋体" w:hint="eastAsia"/>
        </w:rPr>
        <w:t>）及中国证监会基金电子披露网站（</w:t>
      </w:r>
      <w:r>
        <w:rPr>
          <w:rFonts w:ascii="宋体" w:hAnsi="宋体" w:cs="宋体" w:hint="eastAsia"/>
        </w:rPr>
        <w:t>http://eid.csrc.gov.cn/fund</w:t>
      </w:r>
      <w:r>
        <w:rPr>
          <w:rFonts w:ascii="宋体" w:hAnsi="宋体" w:cs="宋体" w:hint="eastAsia"/>
        </w:rPr>
        <w:t>）的《天弘金融优选混合型发起式证券投资基金基金</w:t>
      </w:r>
      <w:r>
        <w:rPr>
          <w:rFonts w:ascii="宋体" w:hAnsi="宋体" w:cs="宋体"/>
        </w:rPr>
        <w:t>合同</w:t>
      </w:r>
      <w:r>
        <w:rPr>
          <w:rFonts w:ascii="宋体" w:hAnsi="宋体" w:cs="宋体" w:hint="eastAsia"/>
        </w:rPr>
        <w:t>》、《天弘金融优选混合型发起式证券投资基金招募说明书》</w:t>
      </w:r>
      <w:r>
        <w:rPr>
          <w:rFonts w:ascii="宋体" w:hAnsi="宋体" w:cs="宋体"/>
        </w:rPr>
        <w:t>。</w:t>
      </w:r>
    </w:p>
    <w:p w:rsidR="00B663DD" w:rsidRDefault="00227883">
      <w:pPr>
        <w:autoSpaceDE w:val="0"/>
        <w:autoSpaceDN w:val="0"/>
        <w:adjustRightInd w:val="0"/>
        <w:spacing w:line="360" w:lineRule="auto"/>
        <w:ind w:firstLineChars="200" w:firstLine="480"/>
        <w:jc w:val="both"/>
        <w:rPr>
          <w:rFonts w:ascii="宋体" w:hAnsi="宋体" w:cs="宋体"/>
        </w:rPr>
      </w:pPr>
      <w:r>
        <w:rPr>
          <w:rFonts w:ascii="宋体" w:hAnsi="宋体" w:cs="宋体"/>
        </w:rPr>
        <w:t>11</w:t>
      </w:r>
      <w:r>
        <w:rPr>
          <w:rFonts w:ascii="宋体" w:hAnsi="宋体" w:cs="宋体" w:hint="eastAsia"/>
        </w:rPr>
        <w:t>、在募集期间，如出现增加发售机构的情形，本公司将及时披露基金销售机构名录或在官网列示。</w:t>
      </w:r>
    </w:p>
    <w:p w:rsidR="00B663DD" w:rsidRDefault="00227883">
      <w:pPr>
        <w:spacing w:line="360" w:lineRule="auto"/>
        <w:ind w:firstLineChars="200" w:firstLine="480"/>
        <w:jc w:val="both"/>
        <w:rPr>
          <w:rFonts w:ascii="宋体" w:hAnsi="宋体" w:cs="宋体"/>
        </w:rPr>
      </w:pPr>
      <w:r>
        <w:rPr>
          <w:rFonts w:ascii="宋体" w:hAnsi="宋体" w:cs="宋体"/>
        </w:rPr>
        <w:t>12</w:t>
      </w:r>
      <w:r>
        <w:rPr>
          <w:rFonts w:ascii="宋体" w:hAnsi="宋体" w:cs="宋体" w:hint="eastAsia"/>
        </w:rPr>
        <w:t>、</w:t>
      </w:r>
      <w:r>
        <w:rPr>
          <w:rFonts w:ascii="宋体" w:hAnsi="宋体" w:cs="宋体" w:hint="eastAsia"/>
          <w:b/>
        </w:rPr>
        <w:t>本公司可综合各种情况对本基金的发售安排做适当调整，并可根据基金销售情况适当延长</w:t>
      </w:r>
      <w:r>
        <w:rPr>
          <w:rFonts w:ascii="宋体" w:hAnsi="宋体" w:cs="宋体"/>
          <w:b/>
        </w:rPr>
        <w:t>、</w:t>
      </w:r>
      <w:r>
        <w:rPr>
          <w:rFonts w:ascii="宋体" w:hAnsi="宋体" w:cs="宋体" w:hint="eastAsia"/>
          <w:b/>
        </w:rPr>
        <w:t>缩短或调整基金发售时间，并及时公告。</w:t>
      </w:r>
    </w:p>
    <w:p w:rsidR="00B663DD" w:rsidRDefault="00227883">
      <w:pPr>
        <w:spacing w:line="360" w:lineRule="auto"/>
        <w:ind w:firstLineChars="200" w:firstLine="480"/>
        <w:jc w:val="both"/>
        <w:rPr>
          <w:rFonts w:ascii="宋体" w:hAnsi="宋体" w:cs="宋体"/>
        </w:rPr>
      </w:pPr>
      <w:r>
        <w:rPr>
          <w:rFonts w:ascii="宋体" w:hAnsi="宋体" w:cs="宋体"/>
        </w:rPr>
        <w:t>13</w:t>
      </w:r>
      <w:r>
        <w:rPr>
          <w:rFonts w:ascii="宋体" w:hAnsi="宋体" w:cs="宋体" w:hint="eastAsia"/>
        </w:rPr>
        <w:t>、风险提示</w:t>
      </w:r>
      <w:r>
        <w:rPr>
          <w:rFonts w:ascii="宋体" w:hAnsi="宋体" w:cs="宋体" w:hint="eastAsia"/>
        </w:rPr>
        <w:t>：</w:t>
      </w:r>
    </w:p>
    <w:p w:rsidR="00B663DD" w:rsidRDefault="00227883">
      <w:pPr>
        <w:widowControl w:val="0"/>
        <w:snapToGrid w:val="0"/>
        <w:spacing w:line="360" w:lineRule="auto"/>
        <w:ind w:firstLineChars="200" w:firstLine="480"/>
        <w:jc w:val="both"/>
        <w:rPr>
          <w:rFonts w:ascii="宋体" w:eastAsia="宋体" w:hAnsi="宋体" w:cs="黑体"/>
          <w:color w:val="000000"/>
          <w:kern w:val="2"/>
        </w:rPr>
      </w:pPr>
      <w:r>
        <w:rPr>
          <w:rFonts w:ascii="宋体" w:eastAsia="宋体" w:hAnsi="宋体" w:cs="黑体" w:hint="eastAsia"/>
          <w:color w:val="000000"/>
          <w:kern w:val="2"/>
        </w:rPr>
        <w:t>本基金投资于证券市场，基金净值会因为证券市场波动等因素产生波动。投资有风险，投资人认购（或申购）基金时应认真阅读基金合同、本招募说明书和基金产品资料概要等信息披露文件，全面认识本基金产品的风险收益特征和产品特性，充分考虑自身的风险承受能力，理性判断市场，对认购（或申购）基金的意愿、时机、数量等投资行为作出独立决策。投资人在获得基金投资收益的同时，亦承担基金投资中出现的各类风险，可能包括：证券市场整体环境引发的系统性风险、个别证券特有的非系统性风险、大量赎回或暴跌导致的流动性风险、基金管理人在投资经营过程</w:t>
      </w:r>
      <w:r>
        <w:rPr>
          <w:rFonts w:ascii="宋体" w:eastAsia="宋体" w:hAnsi="宋体" w:cs="黑体" w:hint="eastAsia"/>
          <w:color w:val="000000"/>
          <w:kern w:val="2"/>
        </w:rPr>
        <w:t>中产生的操作风险以及本基金特有风险等。</w:t>
      </w:r>
      <w:r>
        <w:rPr>
          <w:rFonts w:ascii="宋体" w:eastAsia="宋体" w:hAnsi="宋体" w:cs="黑体"/>
          <w:color w:val="000000"/>
          <w:kern w:val="2"/>
        </w:rPr>
        <w:t xml:space="preserve"> </w:t>
      </w:r>
    </w:p>
    <w:p w:rsidR="00B663DD" w:rsidRDefault="00227883">
      <w:pPr>
        <w:widowControl w:val="0"/>
        <w:snapToGrid w:val="0"/>
        <w:spacing w:line="360" w:lineRule="auto"/>
        <w:ind w:firstLineChars="200" w:firstLine="480"/>
        <w:jc w:val="both"/>
        <w:rPr>
          <w:rFonts w:ascii="宋体" w:eastAsia="宋体" w:hAnsi="宋体" w:cs="Times New Roman"/>
          <w:bCs/>
          <w:kern w:val="2"/>
        </w:rPr>
      </w:pPr>
      <w:r>
        <w:rPr>
          <w:rFonts w:ascii="宋体" w:eastAsia="宋体" w:hAnsi="宋体" w:cs="Times New Roman" w:hint="eastAsia"/>
          <w:bCs/>
          <w:kern w:val="2"/>
        </w:rPr>
        <w:t>本基金为混合型基金，其风险收益预期高于货币市场基金和债券型基金，低于股票型基金。</w:t>
      </w:r>
    </w:p>
    <w:p w:rsidR="00B663DD" w:rsidRDefault="00227883">
      <w:pPr>
        <w:widowControl w:val="0"/>
        <w:snapToGrid w:val="0"/>
        <w:spacing w:line="360" w:lineRule="auto"/>
        <w:ind w:firstLineChars="200" w:firstLine="482"/>
        <w:jc w:val="both"/>
        <w:rPr>
          <w:rFonts w:ascii="宋体" w:eastAsia="宋体" w:hAnsi="宋体" w:cs="Times New Roman"/>
          <w:b/>
          <w:bCs/>
          <w:kern w:val="2"/>
        </w:rPr>
      </w:pPr>
      <w:r>
        <w:rPr>
          <w:rFonts w:ascii="宋体" w:eastAsia="宋体" w:hAnsi="宋体" w:cs="Times New Roman" w:hint="eastAsia"/>
          <w:b/>
          <w:bCs/>
          <w:kern w:val="2"/>
        </w:rPr>
        <w:t>基金管理人在此特别提示投资者：本基金存在法律文件风险收益特征表述与销售机构基金风险评价可能不一致的风险。</w:t>
      </w:r>
    </w:p>
    <w:p w:rsidR="00B663DD" w:rsidRDefault="00227883">
      <w:pPr>
        <w:widowControl w:val="0"/>
        <w:snapToGrid w:val="0"/>
        <w:spacing w:line="360" w:lineRule="auto"/>
        <w:ind w:firstLineChars="200" w:firstLine="480"/>
        <w:jc w:val="both"/>
        <w:rPr>
          <w:rFonts w:ascii="宋体" w:eastAsia="宋体" w:hAnsi="宋体" w:cs="Times New Roman"/>
          <w:bCs/>
          <w:kern w:val="2"/>
        </w:rPr>
      </w:pPr>
      <w:r>
        <w:rPr>
          <w:rFonts w:ascii="宋体" w:eastAsia="宋体" w:hAnsi="宋体" w:cs="Times New Roman" w:hint="eastAsia"/>
          <w:bCs/>
          <w:kern w:val="2"/>
        </w:rPr>
        <w:t>本基金法律文件投资章节有关风险收益特征的表述是基于投资范围、投资比例、证券市场普遍规律等做出的概述性描述，代表了一般市场情况下本基金的长期风险收益特征。销售机构</w:t>
      </w:r>
      <w:r>
        <w:rPr>
          <w:rFonts w:ascii="宋体" w:eastAsia="宋体" w:hAnsi="宋体" w:cs="Times New Roman"/>
          <w:bCs/>
          <w:kern w:val="2"/>
        </w:rPr>
        <w:t>(</w:t>
      </w:r>
      <w:r>
        <w:rPr>
          <w:rFonts w:ascii="宋体" w:eastAsia="宋体" w:hAnsi="宋体" w:cs="Times New Roman" w:hint="eastAsia"/>
          <w:bCs/>
          <w:kern w:val="2"/>
        </w:rPr>
        <w:t>包括基金管理人直销机构和其他销售机构</w:t>
      </w:r>
      <w:r>
        <w:rPr>
          <w:rFonts w:ascii="宋体" w:eastAsia="宋体" w:hAnsi="宋体" w:cs="Times New Roman"/>
          <w:bCs/>
          <w:kern w:val="2"/>
        </w:rPr>
        <w:t>)</w:t>
      </w:r>
      <w:r>
        <w:rPr>
          <w:rFonts w:ascii="宋体" w:eastAsia="宋体" w:hAnsi="宋体" w:cs="Times New Roman" w:hint="eastAsia"/>
          <w:bCs/>
          <w:kern w:val="2"/>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663DD" w:rsidRDefault="00227883">
      <w:pPr>
        <w:widowControl w:val="0"/>
        <w:snapToGrid w:val="0"/>
        <w:spacing w:line="360" w:lineRule="auto"/>
        <w:ind w:firstLineChars="200" w:firstLine="480"/>
        <w:jc w:val="both"/>
        <w:rPr>
          <w:rFonts w:ascii="宋体" w:eastAsia="宋体" w:hAnsi="宋体" w:cs="Times New Roman"/>
          <w:bCs/>
          <w:kern w:val="2"/>
        </w:rPr>
      </w:pPr>
      <w:r>
        <w:rPr>
          <w:rFonts w:ascii="宋体" w:eastAsia="宋体" w:hAnsi="宋体" w:cs="Times New Roman" w:hint="eastAsia"/>
          <w:kern w:val="2"/>
        </w:rPr>
        <w:t>当本基金持有特定资产且存在或潜在大额赎回申请时，基金管理人履行相应程序后，可以启用侧袋机制，具体详见基金合同和本招募说明书的相关章节。</w:t>
      </w:r>
      <w:r>
        <w:rPr>
          <w:rFonts w:ascii="宋体" w:eastAsia="宋体" w:hAnsi="宋体" w:cs="Times New Roman" w:hint="eastAsia"/>
          <w:bCs/>
          <w:kern w:val="2"/>
        </w:rPr>
        <w:t>侧袋机制实施期间，基金管理人将对基金简称进行特殊标识，投资者不得办理侧袋账户份额的申购赎回等业务。</w:t>
      </w:r>
      <w:r>
        <w:rPr>
          <w:rFonts w:ascii="宋体" w:eastAsia="宋体" w:hAnsi="宋体" w:cs="Times New Roman" w:hint="eastAsia"/>
          <w:kern w:val="2"/>
        </w:rPr>
        <w:t>请基金份额持有人仔细阅读相关内容并关注本基金启用</w:t>
      </w:r>
      <w:r>
        <w:rPr>
          <w:rFonts w:ascii="宋体" w:eastAsia="宋体" w:hAnsi="宋体" w:cs="Times New Roman" w:hint="eastAsia"/>
          <w:kern w:val="2"/>
        </w:rPr>
        <w:t>侧袋机制时的特定风险。</w:t>
      </w:r>
    </w:p>
    <w:p w:rsidR="00B663DD" w:rsidRDefault="00227883">
      <w:pPr>
        <w:widowControl w:val="0"/>
        <w:snapToGrid w:val="0"/>
        <w:spacing w:line="360" w:lineRule="auto"/>
        <w:ind w:firstLineChars="200" w:firstLine="480"/>
        <w:jc w:val="both"/>
        <w:rPr>
          <w:rFonts w:ascii="宋体" w:eastAsia="宋体" w:hAnsi="宋体" w:cs="Times New Roman"/>
          <w:bCs/>
          <w:kern w:val="2"/>
        </w:rPr>
      </w:pPr>
      <w:r>
        <w:rPr>
          <w:rFonts w:ascii="宋体" w:eastAsia="宋体" w:hAnsi="宋体" w:cs="Times New Roman" w:hint="eastAsia"/>
          <w:bCs/>
          <w:kern w:val="2"/>
        </w:rPr>
        <w:t>本基金单一投资者（基金管理人、基金管理人高级管理人员或基金经理等人员作为发起资金提供方除外）持有基金份额数不得达到或超过基金份额总数的</w:t>
      </w:r>
      <w:r>
        <w:rPr>
          <w:rFonts w:ascii="宋体" w:eastAsia="宋体" w:hAnsi="宋体" w:cs="Times New Roman"/>
          <w:bCs/>
          <w:kern w:val="2"/>
        </w:rPr>
        <w:t>50%</w:t>
      </w:r>
      <w:r>
        <w:rPr>
          <w:rFonts w:ascii="宋体" w:eastAsia="宋体" w:hAnsi="宋体" w:cs="Times New Roman" w:hint="eastAsia"/>
          <w:bCs/>
          <w:kern w:val="2"/>
        </w:rPr>
        <w:t>，但在基金运作过程中因基金份额赎回等基金管理人无法予以控制的情形导致被动达到或超过</w:t>
      </w:r>
      <w:r>
        <w:rPr>
          <w:rFonts w:ascii="宋体" w:eastAsia="宋体" w:hAnsi="宋体" w:cs="Times New Roman"/>
          <w:bCs/>
          <w:kern w:val="2"/>
        </w:rPr>
        <w:t>50%</w:t>
      </w:r>
      <w:r>
        <w:rPr>
          <w:rFonts w:ascii="宋体" w:eastAsia="宋体" w:hAnsi="宋体" w:cs="Times New Roman" w:hint="eastAsia"/>
          <w:bCs/>
          <w:kern w:val="2"/>
        </w:rPr>
        <w:t>的除外。法律法规或监管机构另有规定的，从其规定。</w:t>
      </w:r>
    </w:p>
    <w:p w:rsidR="00B663DD" w:rsidRDefault="00227883">
      <w:pPr>
        <w:widowControl w:val="0"/>
        <w:snapToGrid w:val="0"/>
        <w:spacing w:line="360" w:lineRule="auto"/>
        <w:ind w:firstLineChars="200" w:firstLine="480"/>
        <w:jc w:val="both"/>
        <w:rPr>
          <w:rFonts w:ascii="宋体" w:eastAsia="宋体" w:hAnsi="宋体" w:cs="Times New Roman"/>
          <w:bCs/>
          <w:kern w:val="2"/>
        </w:rPr>
      </w:pPr>
      <w:r>
        <w:rPr>
          <w:rFonts w:ascii="宋体" w:eastAsia="宋体" w:hAnsi="宋体" w:cs="Times New Roman" w:hint="eastAsia"/>
          <w:bCs/>
          <w:kern w:val="2"/>
        </w:rPr>
        <w:t>本基金可投资存托凭证，基金净值可能受到存托凭证的境外基础证券价格波动影响，存托凭证的境外基础证券的相关风险可能直接或间接成为本基金的风险。</w:t>
      </w:r>
    </w:p>
    <w:p w:rsidR="00B663DD" w:rsidRDefault="00227883">
      <w:pPr>
        <w:widowControl w:val="0"/>
        <w:spacing w:line="360" w:lineRule="auto"/>
        <w:ind w:firstLineChars="200" w:firstLine="480"/>
        <w:jc w:val="both"/>
        <w:rPr>
          <w:rFonts w:ascii="宋体" w:eastAsia="宋体" w:hAnsi="宋体" w:cs="Times New Roman"/>
          <w:bCs/>
          <w:kern w:val="2"/>
        </w:rPr>
      </w:pPr>
      <w:r>
        <w:rPr>
          <w:rFonts w:ascii="宋体" w:eastAsia="宋体" w:hAnsi="宋体" w:cs="Times New Roman" w:hint="eastAsia"/>
          <w:bCs/>
          <w:kern w:val="2"/>
        </w:rPr>
        <w:t>本基金若投资于相关股票市场交易互联互通机制试点允许买卖的规定范围内的香</w:t>
      </w:r>
      <w:r>
        <w:rPr>
          <w:rFonts w:ascii="宋体" w:eastAsia="宋体" w:hAnsi="宋体" w:cs="Times New Roman" w:hint="eastAsia"/>
          <w:bCs/>
          <w:kern w:val="2"/>
        </w:rPr>
        <w:t>港联合交易所上市的股票（以下简称“港股通标的股票”），会面临港股通机制下因投资环境、投资标的、市场制度以及交易规则等差异带来的特有风险，</w:t>
      </w:r>
      <w:r>
        <w:rPr>
          <w:rFonts w:ascii="宋体" w:eastAsia="宋体" w:hAnsi="宋体" w:cs="Times New Roman"/>
          <w:bCs/>
          <w:kern w:val="2"/>
        </w:rPr>
        <w:t xml:space="preserve"> </w:t>
      </w:r>
      <w:r>
        <w:rPr>
          <w:rFonts w:ascii="宋体" w:eastAsia="宋体" w:hAnsi="宋体" w:cs="Times New Roman" w:hint="eastAsia"/>
          <w:bCs/>
          <w:kern w:val="2"/>
        </w:rPr>
        <w:t>包括港股市场股价波动较大的风险（港股市场实行</w:t>
      </w:r>
      <w:r>
        <w:rPr>
          <w:rFonts w:ascii="宋体" w:eastAsia="宋体" w:hAnsi="宋体" w:cs="Times New Roman"/>
          <w:bCs/>
          <w:kern w:val="2"/>
        </w:rPr>
        <w:t xml:space="preserve"> T+0</w:t>
      </w:r>
      <w:r>
        <w:rPr>
          <w:rFonts w:ascii="宋体" w:eastAsia="宋体" w:hAnsi="宋体" w:cs="Times New Roman" w:hint="eastAsia"/>
          <w:bCs/>
          <w:kern w:val="2"/>
        </w:rPr>
        <w:t>回转交易，且对个股不设涨跌幅限制，港股股价可能表现出比</w:t>
      </w:r>
      <w:r>
        <w:rPr>
          <w:rFonts w:ascii="宋体" w:eastAsia="宋体" w:hAnsi="宋体" w:cs="Times New Roman"/>
          <w:bCs/>
          <w:kern w:val="2"/>
        </w:rPr>
        <w:t>A</w:t>
      </w:r>
      <w:r>
        <w:rPr>
          <w:rFonts w:ascii="宋体" w:eastAsia="宋体" w:hAnsi="宋体" w:cs="Times New Roman" w:hint="eastAsia"/>
          <w:bCs/>
          <w:kern w:val="2"/>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基金的风险提示”章节</w:t>
      </w:r>
      <w:r>
        <w:rPr>
          <w:rFonts w:ascii="宋体" w:eastAsia="宋体" w:hAnsi="宋体" w:cs="Times New Roman" w:hint="eastAsia"/>
          <w:bCs/>
          <w:kern w:val="2"/>
        </w:rPr>
        <w:t>的具体内容。</w:t>
      </w:r>
    </w:p>
    <w:p w:rsidR="00B663DD" w:rsidRDefault="00227883">
      <w:pPr>
        <w:widowControl w:val="0"/>
        <w:snapToGrid w:val="0"/>
        <w:spacing w:line="360" w:lineRule="auto"/>
        <w:ind w:firstLineChars="200" w:firstLine="480"/>
        <w:jc w:val="both"/>
        <w:rPr>
          <w:rFonts w:ascii="宋体" w:eastAsia="宋体" w:hAnsi="宋体" w:cs="Times New Roman"/>
          <w:kern w:val="2"/>
        </w:rPr>
      </w:pPr>
      <w:r>
        <w:rPr>
          <w:rFonts w:ascii="宋体" w:eastAsia="宋体" w:hAnsi="宋体" w:cs="Times New Roman" w:hint="eastAsia"/>
          <w:bCs/>
          <w:kern w:val="2"/>
        </w:rPr>
        <w:t>本基金投资港股通标的股票的比例下限为零，即本基金可根据投资策略需要或不同配置地市场环境的变化，选择将部分基金资产投资于港股通标的股票或选择不将基金资产投资于港股通标的股票，基金资产并非必然投资港股通标的股票。</w:t>
      </w:r>
    </w:p>
    <w:p w:rsidR="00B663DD" w:rsidRDefault="00227883">
      <w:pPr>
        <w:widowControl w:val="0"/>
        <w:snapToGrid w:val="0"/>
        <w:spacing w:line="360" w:lineRule="auto"/>
        <w:ind w:firstLineChars="200" w:firstLine="480"/>
        <w:jc w:val="both"/>
        <w:rPr>
          <w:rFonts w:ascii="宋体" w:eastAsia="宋体" w:hAnsi="宋体" w:cs="宋体"/>
          <w:kern w:val="2"/>
        </w:rPr>
      </w:pPr>
      <w:r>
        <w:rPr>
          <w:rFonts w:ascii="宋体" w:eastAsia="宋体" w:hAnsi="宋体" w:cs="宋体" w:hint="eastAsia"/>
          <w:kern w:val="2"/>
        </w:rPr>
        <w:t>投资者应当认真阅读基金合同、招募说明书、</w:t>
      </w:r>
      <w:r>
        <w:rPr>
          <w:rFonts w:ascii="宋体" w:eastAsia="宋体" w:hAnsi="宋体" w:cs="宋体"/>
          <w:kern w:val="2"/>
        </w:rPr>
        <w:t>基金产品资料概要</w:t>
      </w:r>
      <w:r>
        <w:rPr>
          <w:rFonts w:ascii="宋体" w:eastAsia="宋体" w:hAnsi="宋体" w:cs="宋体" w:hint="eastAsia"/>
          <w:kern w:val="2"/>
        </w:rPr>
        <w:t>等信息披露文件，自主判断基金的投资价值，自主做出投资决策，自行承担投资风险，了解基金的风险收益特征，根据自身的投资目的、投资经验、资产状况等判断基金是否和自身的风险承受能力相适应，并通过基金管理人或基金管理人委托的具有基金销售业务资格的其他机构购买基金。</w:t>
      </w:r>
    </w:p>
    <w:p w:rsidR="00B663DD" w:rsidRDefault="00227883">
      <w:pPr>
        <w:spacing w:line="360" w:lineRule="auto"/>
        <w:ind w:firstLineChars="200" w:firstLine="480"/>
        <w:jc w:val="both"/>
        <w:rPr>
          <w:rFonts w:ascii="宋体" w:eastAsia="宋体" w:hAnsi="宋体" w:cs="宋体"/>
          <w:kern w:val="2"/>
        </w:rPr>
      </w:pPr>
      <w:r>
        <w:rPr>
          <w:rFonts w:ascii="宋体" w:eastAsia="宋体" w:hAnsi="宋体" w:cs="Times New Roman" w:hint="eastAsia"/>
          <w:color w:val="000000"/>
          <w:kern w:val="2"/>
        </w:rPr>
        <w:t>基金管理人承诺以诚实信用、勤勉尽责的原则管理和运用基金资产，但不保证投资于本基金一定盈利，也不保证最低收益。基金的过往业绩并不预示其未来表现，基金管理人管理的其他基金的业绩并不构成对本基金业绩表现的保证。基金管理人提醒投资者注意基金投资的“买者自负”原则，</w:t>
      </w:r>
      <w:r>
        <w:rPr>
          <w:rFonts w:ascii="宋体" w:eastAsia="宋体" w:hAnsi="宋体" w:cs="Times New Roman" w:hint="eastAsia"/>
          <w:color w:val="000000"/>
          <w:kern w:val="2"/>
        </w:rPr>
        <w:t>在做出投资决策后，基金运营状况与基金净值变化引致的投资风险，由投资者自行负担。</w:t>
      </w:r>
    </w:p>
    <w:p w:rsidR="00B663DD" w:rsidRDefault="00227883">
      <w:pPr>
        <w:pStyle w:val="1"/>
        <w:spacing w:before="0" w:after="0" w:line="360" w:lineRule="auto"/>
        <w:ind w:firstLineChars="235" w:firstLine="566"/>
        <w:rPr>
          <w:rFonts w:ascii="宋体" w:hAnsi="宋体"/>
          <w:bCs w:val="0"/>
          <w:kern w:val="0"/>
          <w:sz w:val="24"/>
          <w:szCs w:val="24"/>
        </w:rPr>
      </w:pPr>
      <w:r>
        <w:rPr>
          <w:rFonts w:ascii="宋体" w:hAnsi="宋体"/>
          <w:bCs w:val="0"/>
          <w:kern w:val="0"/>
          <w:sz w:val="24"/>
          <w:szCs w:val="24"/>
        </w:rPr>
        <w:t>一、</w:t>
      </w:r>
      <w:r>
        <w:rPr>
          <w:rFonts w:ascii="宋体" w:hAnsi="宋体" w:hint="eastAsia"/>
          <w:bCs w:val="0"/>
          <w:kern w:val="0"/>
          <w:sz w:val="24"/>
          <w:szCs w:val="24"/>
        </w:rPr>
        <w:t>基金募集</w:t>
      </w:r>
      <w:r>
        <w:rPr>
          <w:rFonts w:ascii="宋体" w:hAnsi="宋体"/>
          <w:bCs w:val="0"/>
          <w:kern w:val="0"/>
          <w:sz w:val="24"/>
          <w:szCs w:val="24"/>
        </w:rPr>
        <w:t>基本情况</w:t>
      </w:r>
    </w:p>
    <w:p w:rsidR="00B663DD" w:rsidRDefault="00227883">
      <w:pPr>
        <w:spacing w:line="360" w:lineRule="auto"/>
        <w:ind w:firstLineChars="235" w:firstLine="564"/>
        <w:jc w:val="both"/>
        <w:rPr>
          <w:rFonts w:ascii="宋体" w:hAnsi="宋体"/>
        </w:rPr>
      </w:pPr>
      <w:r>
        <w:rPr>
          <w:rFonts w:ascii="宋体" w:hAnsi="宋体" w:hint="eastAsia"/>
          <w:bCs/>
        </w:rPr>
        <w:t>（一）基金名称及代码</w:t>
      </w:r>
    </w:p>
    <w:p w:rsidR="00B663DD" w:rsidRDefault="00227883">
      <w:pPr>
        <w:spacing w:line="360" w:lineRule="auto"/>
        <w:ind w:firstLineChars="235" w:firstLine="564"/>
        <w:jc w:val="both"/>
        <w:rPr>
          <w:rFonts w:ascii="宋体" w:hAnsi="宋体"/>
        </w:rPr>
      </w:pPr>
      <w:r>
        <w:rPr>
          <w:rFonts w:ascii="宋体" w:hAnsi="宋体" w:hint="eastAsia"/>
        </w:rPr>
        <w:t>基金名称：天弘金融优选混合型发起式证券投资基金</w:t>
      </w:r>
    </w:p>
    <w:p w:rsidR="00B663DD" w:rsidRDefault="00227883">
      <w:pPr>
        <w:spacing w:line="360" w:lineRule="auto"/>
        <w:ind w:firstLineChars="235" w:firstLine="564"/>
        <w:jc w:val="both"/>
        <w:rPr>
          <w:rFonts w:ascii="宋体" w:hAnsi="宋体"/>
        </w:rPr>
      </w:pPr>
      <w:r>
        <w:rPr>
          <w:rFonts w:ascii="宋体" w:hAnsi="宋体" w:hint="eastAsia"/>
        </w:rPr>
        <w:t>基金</w:t>
      </w:r>
      <w:r>
        <w:rPr>
          <w:rFonts w:ascii="宋体" w:hAnsi="宋体"/>
        </w:rPr>
        <w:t>简称</w:t>
      </w:r>
      <w:r>
        <w:rPr>
          <w:rFonts w:ascii="宋体" w:hAnsi="宋体" w:hint="eastAsia"/>
        </w:rPr>
        <w:t>及</w:t>
      </w:r>
      <w:r>
        <w:rPr>
          <w:rFonts w:ascii="宋体" w:hAnsi="宋体"/>
        </w:rPr>
        <w:t>代码：</w:t>
      </w:r>
    </w:p>
    <w:p w:rsidR="00B663DD" w:rsidRDefault="00227883">
      <w:pPr>
        <w:spacing w:line="360" w:lineRule="auto"/>
        <w:ind w:firstLineChars="235" w:firstLine="564"/>
        <w:jc w:val="both"/>
        <w:rPr>
          <w:rFonts w:ascii="宋体" w:hAnsi="宋体"/>
        </w:rPr>
      </w:pPr>
      <w:r>
        <w:rPr>
          <w:rFonts w:ascii="宋体" w:hAnsi="宋体" w:hint="eastAsia"/>
        </w:rPr>
        <w:t>天弘金融优选混合发起</w:t>
      </w:r>
      <w:r>
        <w:rPr>
          <w:rFonts w:ascii="宋体" w:hAnsi="宋体" w:hint="eastAsia"/>
        </w:rPr>
        <w:t>A</w:t>
      </w:r>
      <w:r>
        <w:rPr>
          <w:rFonts w:ascii="宋体" w:hAnsi="宋体" w:hint="eastAsia"/>
        </w:rPr>
        <w:t>：</w:t>
      </w:r>
      <w:r>
        <w:rPr>
          <w:rFonts w:ascii="宋体" w:hAnsi="宋体" w:hint="eastAsia"/>
        </w:rPr>
        <w:t>020193</w:t>
      </w:r>
    </w:p>
    <w:p w:rsidR="00B663DD" w:rsidRDefault="00227883">
      <w:pPr>
        <w:spacing w:line="360" w:lineRule="auto"/>
        <w:ind w:firstLineChars="235" w:firstLine="564"/>
        <w:jc w:val="both"/>
        <w:rPr>
          <w:rFonts w:ascii="宋体" w:hAnsi="宋体"/>
        </w:rPr>
      </w:pPr>
      <w:r>
        <w:rPr>
          <w:rFonts w:ascii="宋体" w:hAnsi="宋体" w:hint="eastAsia"/>
        </w:rPr>
        <w:t>天弘金融优选混合发起</w:t>
      </w:r>
      <w:r>
        <w:rPr>
          <w:rFonts w:ascii="宋体" w:hAnsi="宋体" w:hint="eastAsia"/>
        </w:rPr>
        <w:t>C</w:t>
      </w:r>
      <w:r>
        <w:rPr>
          <w:rFonts w:ascii="宋体" w:hAnsi="宋体" w:hint="eastAsia"/>
        </w:rPr>
        <w:t>：</w:t>
      </w:r>
      <w:r>
        <w:rPr>
          <w:rFonts w:ascii="宋体" w:hAnsi="宋体" w:hint="eastAsia"/>
        </w:rPr>
        <w:t>020194</w:t>
      </w:r>
    </w:p>
    <w:p w:rsidR="00B663DD" w:rsidRDefault="00227883">
      <w:pPr>
        <w:spacing w:line="360" w:lineRule="auto"/>
        <w:ind w:firstLineChars="235" w:firstLine="564"/>
        <w:jc w:val="both"/>
        <w:rPr>
          <w:rFonts w:ascii="宋体" w:hAnsi="宋体"/>
          <w:bCs/>
        </w:rPr>
      </w:pPr>
      <w:r>
        <w:rPr>
          <w:rFonts w:ascii="宋体" w:hAnsi="宋体" w:hint="eastAsia"/>
          <w:bCs/>
        </w:rPr>
        <w:t>（二）</w:t>
      </w:r>
      <w:r>
        <w:rPr>
          <w:rFonts w:ascii="宋体" w:hAnsi="宋体"/>
          <w:bCs/>
        </w:rPr>
        <w:t>基金类型</w:t>
      </w:r>
    </w:p>
    <w:p w:rsidR="00B663DD" w:rsidRDefault="00227883">
      <w:pPr>
        <w:spacing w:line="360" w:lineRule="auto"/>
        <w:ind w:firstLineChars="235" w:firstLine="564"/>
        <w:jc w:val="both"/>
        <w:rPr>
          <w:bCs/>
        </w:rPr>
      </w:pPr>
      <w:r>
        <w:rPr>
          <w:rFonts w:hint="eastAsia"/>
          <w:bCs/>
        </w:rPr>
        <w:t>混合型证券投资基金</w:t>
      </w:r>
    </w:p>
    <w:p w:rsidR="00B663DD" w:rsidRDefault="00227883">
      <w:pPr>
        <w:spacing w:line="360" w:lineRule="auto"/>
        <w:ind w:firstLineChars="235" w:firstLine="564"/>
        <w:jc w:val="both"/>
        <w:rPr>
          <w:rFonts w:ascii="宋体" w:hAnsi="宋体"/>
          <w:bCs/>
        </w:rPr>
      </w:pPr>
      <w:r>
        <w:rPr>
          <w:rFonts w:ascii="宋体" w:hAnsi="宋体" w:hint="eastAsia"/>
          <w:bCs/>
        </w:rPr>
        <w:t>（三）基金运作方式</w:t>
      </w:r>
    </w:p>
    <w:p w:rsidR="00B663DD" w:rsidRDefault="00227883">
      <w:pPr>
        <w:spacing w:line="360" w:lineRule="auto"/>
        <w:ind w:firstLineChars="235" w:firstLine="564"/>
        <w:jc w:val="both"/>
        <w:rPr>
          <w:rFonts w:ascii="宋体" w:hAnsi="宋体"/>
          <w:bCs/>
        </w:rPr>
      </w:pPr>
      <w:r>
        <w:rPr>
          <w:rFonts w:hint="eastAsia"/>
          <w:bCs/>
        </w:rPr>
        <w:t>契约型开放式</w:t>
      </w:r>
      <w:r>
        <w:rPr>
          <w:rFonts w:ascii="宋体" w:hAnsi="宋体" w:hint="eastAsia"/>
          <w:bCs/>
        </w:rPr>
        <w:t>。</w:t>
      </w:r>
    </w:p>
    <w:p w:rsidR="00B663DD" w:rsidRDefault="00227883">
      <w:pPr>
        <w:spacing w:line="360" w:lineRule="auto"/>
        <w:ind w:firstLineChars="235" w:firstLine="564"/>
        <w:jc w:val="both"/>
        <w:rPr>
          <w:rFonts w:ascii="宋体" w:hAnsi="宋体"/>
          <w:bCs/>
        </w:rPr>
      </w:pPr>
      <w:r>
        <w:rPr>
          <w:rFonts w:ascii="宋体" w:hAnsi="宋体" w:hint="eastAsia"/>
          <w:bCs/>
        </w:rPr>
        <w:t>本基金为发起式基金，基金的最低募集金额为</w:t>
      </w:r>
      <w:r>
        <w:rPr>
          <w:rFonts w:ascii="宋体" w:hAnsi="宋体" w:hint="eastAsia"/>
          <w:bCs/>
        </w:rPr>
        <w:t>1000</w:t>
      </w:r>
      <w:r>
        <w:rPr>
          <w:rFonts w:ascii="宋体" w:hAnsi="宋体" w:hint="eastAsia"/>
          <w:bCs/>
        </w:rPr>
        <w:t>万元人民币。发起式基金是指，基金管理人在募集基金时，使用公司股东资金、公司固有资金、公司高级管理人员或者基金经理等人员资金认购基金的金额不少于一千万元人民币，且持有期限不少于三年。发起式基金的基金合同生效满三年之日（指自然日），若基金资产净值低于两亿元的，基金合同自动终止。</w:t>
      </w:r>
    </w:p>
    <w:p w:rsidR="00B663DD" w:rsidRDefault="00227883">
      <w:pPr>
        <w:spacing w:line="360" w:lineRule="auto"/>
        <w:ind w:firstLineChars="235" w:firstLine="564"/>
        <w:jc w:val="both"/>
        <w:rPr>
          <w:rFonts w:ascii="宋体" w:hAnsi="宋体"/>
          <w:bCs/>
        </w:rPr>
      </w:pPr>
      <w:r>
        <w:rPr>
          <w:rFonts w:ascii="宋体" w:hAnsi="宋体" w:hint="eastAsia"/>
          <w:bCs/>
        </w:rPr>
        <w:t>（四）基金份额的类别设置</w:t>
      </w:r>
      <w:r>
        <w:rPr>
          <w:rFonts w:ascii="宋体" w:hAnsi="宋体"/>
          <w:bCs/>
        </w:rPr>
        <w:t xml:space="preserve"> </w:t>
      </w:r>
    </w:p>
    <w:p w:rsidR="00B663DD" w:rsidRDefault="00227883">
      <w:pPr>
        <w:spacing w:line="360" w:lineRule="auto"/>
        <w:ind w:firstLineChars="235" w:firstLine="564"/>
        <w:jc w:val="both"/>
        <w:rPr>
          <w:bCs/>
        </w:rPr>
      </w:pPr>
      <w:r>
        <w:rPr>
          <w:rFonts w:hint="eastAsia"/>
          <w:bCs/>
        </w:rPr>
        <w:t>本基金根据所收取认购</w:t>
      </w:r>
      <w:r>
        <w:rPr>
          <w:rFonts w:hint="eastAsia"/>
          <w:bCs/>
        </w:rPr>
        <w:t>/</w:t>
      </w:r>
      <w:r>
        <w:rPr>
          <w:rFonts w:hint="eastAsia"/>
          <w:bCs/>
        </w:rPr>
        <w:t>申购费用、赎回费用、销售服务费用方式的差异，将基金份额分为不同的类别。其中：</w:t>
      </w:r>
    </w:p>
    <w:p w:rsidR="00B663DD" w:rsidRDefault="00227883">
      <w:pPr>
        <w:spacing w:line="360" w:lineRule="auto"/>
        <w:ind w:firstLineChars="235" w:firstLine="564"/>
        <w:jc w:val="both"/>
        <w:rPr>
          <w:bCs/>
        </w:rPr>
      </w:pPr>
      <w:r>
        <w:rPr>
          <w:rFonts w:hint="eastAsia"/>
          <w:bCs/>
        </w:rPr>
        <w:t>在投资人认购</w:t>
      </w:r>
      <w:r>
        <w:rPr>
          <w:rFonts w:hint="eastAsia"/>
          <w:bCs/>
        </w:rPr>
        <w:t>/</w:t>
      </w:r>
      <w:r>
        <w:rPr>
          <w:rFonts w:hint="eastAsia"/>
          <w:bCs/>
        </w:rPr>
        <w:t>申购、赎回基金时收取认购</w:t>
      </w:r>
      <w:r>
        <w:rPr>
          <w:rFonts w:hint="eastAsia"/>
          <w:bCs/>
        </w:rPr>
        <w:t>/</w:t>
      </w:r>
      <w:r>
        <w:rPr>
          <w:rFonts w:hint="eastAsia"/>
          <w:bCs/>
        </w:rPr>
        <w:t>申购费用、赎回费用，</w:t>
      </w:r>
      <w:r>
        <w:rPr>
          <w:rFonts w:hint="eastAsia"/>
          <w:bCs/>
        </w:rPr>
        <w:t>并不再从本类别基金资产中计提销售服务费的基金份额，称为</w:t>
      </w:r>
      <w:r>
        <w:rPr>
          <w:rFonts w:hint="eastAsia"/>
          <w:bCs/>
        </w:rPr>
        <w:t>A</w:t>
      </w:r>
      <w:r>
        <w:rPr>
          <w:rFonts w:hint="eastAsia"/>
          <w:bCs/>
        </w:rPr>
        <w:t>类基金份额。</w:t>
      </w:r>
    </w:p>
    <w:p w:rsidR="00B663DD" w:rsidRDefault="00227883">
      <w:pPr>
        <w:spacing w:line="360" w:lineRule="auto"/>
        <w:ind w:firstLineChars="235" w:firstLine="564"/>
        <w:jc w:val="both"/>
        <w:rPr>
          <w:bCs/>
        </w:rPr>
      </w:pPr>
      <w:r>
        <w:rPr>
          <w:rFonts w:hint="eastAsia"/>
          <w:bCs/>
        </w:rPr>
        <w:t>在投资人认购</w:t>
      </w:r>
      <w:r>
        <w:rPr>
          <w:rFonts w:hint="eastAsia"/>
          <w:bCs/>
        </w:rPr>
        <w:t>/</w:t>
      </w:r>
      <w:r>
        <w:rPr>
          <w:rFonts w:hint="eastAsia"/>
          <w:bCs/>
        </w:rPr>
        <w:t>申购基金时不收取认购</w:t>
      </w:r>
      <w:r>
        <w:rPr>
          <w:rFonts w:hint="eastAsia"/>
          <w:bCs/>
        </w:rPr>
        <w:t>/</w:t>
      </w:r>
      <w:r>
        <w:rPr>
          <w:rFonts w:hint="eastAsia"/>
          <w:bCs/>
        </w:rPr>
        <w:t>申购费用、赎回时收取赎回费用，且从本类别基金资产中计提销售服务费的基金份额，称为</w:t>
      </w:r>
      <w:r>
        <w:rPr>
          <w:rFonts w:hint="eastAsia"/>
          <w:bCs/>
        </w:rPr>
        <w:t>C</w:t>
      </w:r>
      <w:r>
        <w:rPr>
          <w:rFonts w:hint="eastAsia"/>
          <w:bCs/>
        </w:rPr>
        <w:t>类基金份额。</w:t>
      </w:r>
    </w:p>
    <w:p w:rsidR="00B663DD" w:rsidRDefault="00227883">
      <w:pPr>
        <w:spacing w:line="360" w:lineRule="auto"/>
        <w:ind w:firstLineChars="235" w:firstLine="564"/>
        <w:jc w:val="both"/>
        <w:rPr>
          <w:bCs/>
        </w:rPr>
      </w:pPr>
      <w:r>
        <w:rPr>
          <w:rFonts w:hint="eastAsia"/>
          <w:bCs/>
        </w:rPr>
        <w:t>本基金</w:t>
      </w:r>
      <w:r>
        <w:rPr>
          <w:rFonts w:hint="eastAsia"/>
          <w:bCs/>
        </w:rPr>
        <w:t>A</w:t>
      </w:r>
      <w:r>
        <w:rPr>
          <w:rFonts w:hint="eastAsia"/>
          <w:bCs/>
        </w:rPr>
        <w:t>类和</w:t>
      </w:r>
      <w:r>
        <w:rPr>
          <w:rFonts w:hint="eastAsia"/>
          <w:bCs/>
        </w:rPr>
        <w:t>C</w:t>
      </w:r>
      <w:r>
        <w:rPr>
          <w:rFonts w:hint="eastAsia"/>
          <w:bCs/>
        </w:rPr>
        <w:t>类基金份额分别设置代码。由于基金费用的不同，本基金</w:t>
      </w:r>
      <w:r>
        <w:rPr>
          <w:rFonts w:hint="eastAsia"/>
          <w:bCs/>
        </w:rPr>
        <w:t>A</w:t>
      </w:r>
      <w:r>
        <w:rPr>
          <w:rFonts w:hint="eastAsia"/>
          <w:bCs/>
        </w:rPr>
        <w:t>类基金份额和</w:t>
      </w:r>
      <w:r>
        <w:rPr>
          <w:rFonts w:hint="eastAsia"/>
          <w:bCs/>
        </w:rPr>
        <w:t>C</w:t>
      </w:r>
      <w:r>
        <w:rPr>
          <w:rFonts w:hint="eastAsia"/>
          <w:bCs/>
        </w:rPr>
        <w:t>类基金份额将分别计算并公布基金份额净值和基金份额累计净值。</w:t>
      </w:r>
    </w:p>
    <w:p w:rsidR="00B663DD" w:rsidRDefault="00227883">
      <w:pPr>
        <w:spacing w:line="360" w:lineRule="auto"/>
        <w:ind w:firstLineChars="235" w:firstLine="564"/>
        <w:jc w:val="both"/>
        <w:rPr>
          <w:rFonts w:ascii="宋体" w:hAnsi="宋体"/>
        </w:rPr>
      </w:pPr>
      <w:r>
        <w:rPr>
          <w:rFonts w:ascii="宋体" w:hAnsi="宋体" w:hint="eastAsia"/>
          <w:bCs/>
        </w:rPr>
        <w:t>（五）</w:t>
      </w:r>
      <w:r>
        <w:rPr>
          <w:rFonts w:ascii="宋体" w:hAnsi="宋体" w:hint="eastAsia"/>
        </w:rPr>
        <w:t>基金存续期限</w:t>
      </w:r>
    </w:p>
    <w:p w:rsidR="00B663DD" w:rsidRDefault="00227883">
      <w:pPr>
        <w:spacing w:line="360" w:lineRule="auto"/>
        <w:ind w:firstLineChars="200" w:firstLine="480"/>
        <w:rPr>
          <w:bCs/>
        </w:rPr>
      </w:pPr>
      <w:r>
        <w:rPr>
          <w:bCs/>
        </w:rPr>
        <w:t>不定期。</w:t>
      </w:r>
    </w:p>
    <w:p w:rsidR="00B663DD" w:rsidRDefault="00227883">
      <w:pPr>
        <w:spacing w:line="360" w:lineRule="auto"/>
        <w:ind w:firstLineChars="200" w:firstLine="480"/>
        <w:jc w:val="both"/>
        <w:rPr>
          <w:bCs/>
        </w:rPr>
      </w:pPr>
      <w:r>
        <w:rPr>
          <w:rFonts w:hint="eastAsia"/>
          <w:bCs/>
        </w:rPr>
        <w:t>基金合同生效满三年之日（指自然日），若基金资产净值低于两亿元的，基金合同应当自动终止。《基金合同》生效三年后继续存续的，连续</w:t>
      </w:r>
      <w:r>
        <w:rPr>
          <w:rFonts w:hint="eastAsia"/>
          <w:bCs/>
        </w:rPr>
        <w:t>60</w:t>
      </w:r>
      <w:r>
        <w:rPr>
          <w:rFonts w:hint="eastAsia"/>
          <w:bCs/>
        </w:rPr>
        <w:t>个工作日出现前述情形的，基金管理人应当在</w:t>
      </w:r>
      <w:r>
        <w:rPr>
          <w:rFonts w:hint="eastAsia"/>
          <w:bCs/>
        </w:rPr>
        <w:t>10</w:t>
      </w:r>
      <w:r>
        <w:rPr>
          <w:rFonts w:hint="eastAsia"/>
          <w:bCs/>
        </w:rPr>
        <w:t>个工作日内向中国证监会报告并提出解决方案，解决方案包括持续运作、转换运作方式、与其他基金合并或者终止基金合同等，并在</w:t>
      </w:r>
      <w:r>
        <w:rPr>
          <w:rFonts w:hint="eastAsia"/>
          <w:bCs/>
        </w:rPr>
        <w:t>6</w:t>
      </w:r>
      <w:r>
        <w:rPr>
          <w:rFonts w:hint="eastAsia"/>
          <w:bCs/>
        </w:rPr>
        <w:t>个月内召集基金份额持有人大会进行表决。法律法规或中国证监会另有规定时，从其规定。</w:t>
      </w:r>
    </w:p>
    <w:p w:rsidR="00B663DD" w:rsidRDefault="00227883">
      <w:pPr>
        <w:spacing w:line="360" w:lineRule="auto"/>
        <w:ind w:firstLineChars="235" w:firstLine="564"/>
        <w:jc w:val="both"/>
        <w:rPr>
          <w:rFonts w:ascii="宋体" w:hAnsi="宋体"/>
        </w:rPr>
      </w:pPr>
      <w:r>
        <w:rPr>
          <w:rFonts w:ascii="宋体" w:hAnsi="宋体" w:cs="黑体" w:hint="eastAsia"/>
        </w:rPr>
        <w:t>（六）</w:t>
      </w:r>
      <w:r>
        <w:rPr>
          <w:rFonts w:ascii="宋体" w:hAnsi="宋体"/>
          <w:bCs/>
        </w:rPr>
        <w:t>基金份额</w:t>
      </w:r>
      <w:r>
        <w:rPr>
          <w:rFonts w:ascii="宋体" w:hAnsi="宋体" w:hint="eastAsia"/>
          <w:bCs/>
        </w:rPr>
        <w:t>发售</w:t>
      </w:r>
      <w:r>
        <w:rPr>
          <w:rFonts w:ascii="宋体" w:hAnsi="宋体"/>
          <w:bCs/>
        </w:rPr>
        <w:t>面值</w:t>
      </w:r>
    </w:p>
    <w:p w:rsidR="00B663DD" w:rsidRDefault="00227883">
      <w:pPr>
        <w:spacing w:line="360" w:lineRule="auto"/>
        <w:ind w:firstLineChars="200" w:firstLine="480"/>
        <w:rPr>
          <w:rFonts w:ascii="宋体" w:hAnsi="宋体"/>
        </w:rPr>
      </w:pPr>
      <w:r>
        <w:rPr>
          <w:bCs/>
        </w:rPr>
        <w:t>本基金</w:t>
      </w:r>
      <w:r>
        <w:rPr>
          <w:rFonts w:hint="eastAsia"/>
          <w:bCs/>
        </w:rPr>
        <w:t>以</w:t>
      </w:r>
      <w:r>
        <w:rPr>
          <w:bCs/>
        </w:rPr>
        <w:t>人民币发售，基金份额发售面值为人民币</w:t>
      </w:r>
      <w:r>
        <w:rPr>
          <w:bCs/>
        </w:rPr>
        <w:t>1.00</w:t>
      </w:r>
      <w:r>
        <w:rPr>
          <w:bCs/>
        </w:rPr>
        <w:t>元。</w:t>
      </w:r>
    </w:p>
    <w:p w:rsidR="00B663DD" w:rsidRDefault="00227883">
      <w:pPr>
        <w:spacing w:line="360" w:lineRule="auto"/>
        <w:ind w:firstLineChars="235" w:firstLine="564"/>
        <w:jc w:val="both"/>
        <w:rPr>
          <w:rFonts w:ascii="宋体" w:hAnsi="宋体"/>
          <w:bCs/>
        </w:rPr>
      </w:pPr>
      <w:r>
        <w:rPr>
          <w:rFonts w:ascii="宋体" w:hAnsi="宋体" w:hint="eastAsia"/>
          <w:bCs/>
        </w:rPr>
        <w:t>（七）募集</w:t>
      </w:r>
      <w:r>
        <w:rPr>
          <w:rFonts w:ascii="宋体" w:hAnsi="宋体"/>
          <w:bCs/>
        </w:rPr>
        <w:t>对象</w:t>
      </w:r>
    </w:p>
    <w:p w:rsidR="00B663DD" w:rsidRDefault="00227883">
      <w:pPr>
        <w:spacing w:line="360" w:lineRule="auto"/>
        <w:ind w:firstLineChars="235" w:firstLine="564"/>
        <w:jc w:val="both"/>
        <w:rPr>
          <w:bCs/>
        </w:rPr>
      </w:pPr>
      <w:r>
        <w:rPr>
          <w:rFonts w:hint="eastAsia"/>
          <w:bCs/>
        </w:rPr>
        <w:t>符合法律法规规定的可投资于证券投资基金的个</w:t>
      </w:r>
      <w:r>
        <w:rPr>
          <w:rFonts w:hint="eastAsia"/>
          <w:bCs/>
        </w:rPr>
        <w:t>人投资者、机构投资者、合格境外投资者、发起资金提供方以及法律法规或中国证监会允许购买证券投资基金的其他投资人。</w:t>
      </w:r>
    </w:p>
    <w:p w:rsidR="00B663DD" w:rsidRDefault="00227883">
      <w:pPr>
        <w:spacing w:line="360" w:lineRule="auto"/>
        <w:ind w:firstLineChars="235" w:firstLine="564"/>
        <w:jc w:val="both"/>
        <w:rPr>
          <w:rFonts w:ascii="宋体" w:hAnsi="宋体" w:cs="宋体"/>
        </w:rPr>
      </w:pPr>
      <w:r>
        <w:rPr>
          <w:rFonts w:ascii="宋体" w:hAnsi="宋体" w:hint="eastAsia"/>
        </w:rPr>
        <w:t>（</w:t>
      </w:r>
      <w:r>
        <w:rPr>
          <w:rFonts w:ascii="宋体" w:hAnsi="宋体" w:hint="eastAsia"/>
          <w:bCs/>
        </w:rPr>
        <w:t>八）</w:t>
      </w:r>
      <w:r>
        <w:rPr>
          <w:rFonts w:ascii="宋体" w:hAnsi="宋体" w:cs="宋体" w:hint="eastAsia"/>
        </w:rPr>
        <w:t>募集方式</w:t>
      </w:r>
    </w:p>
    <w:p w:rsidR="00B663DD" w:rsidRDefault="00227883">
      <w:pPr>
        <w:spacing w:line="360" w:lineRule="auto"/>
        <w:ind w:firstLineChars="235" w:firstLine="564"/>
        <w:jc w:val="both"/>
        <w:rPr>
          <w:bCs/>
        </w:rPr>
      </w:pPr>
      <w:r>
        <w:rPr>
          <w:rFonts w:hint="eastAsia"/>
          <w:bCs/>
        </w:rPr>
        <w:t>本基金通过本公司直销机构（含直销中心和网上直销系统）和其他销售机构公开发售。</w:t>
      </w:r>
    </w:p>
    <w:p w:rsidR="00B663DD" w:rsidRDefault="00227883">
      <w:pPr>
        <w:spacing w:line="360" w:lineRule="auto"/>
        <w:ind w:firstLineChars="235" w:firstLine="564"/>
        <w:jc w:val="both"/>
        <w:rPr>
          <w:rFonts w:ascii="宋体" w:hAnsi="宋体"/>
          <w:bCs/>
        </w:rPr>
      </w:pPr>
      <w:r>
        <w:rPr>
          <w:rFonts w:ascii="宋体" w:hAnsi="宋体" w:hint="eastAsia"/>
        </w:rPr>
        <w:t>（九）</w:t>
      </w:r>
      <w:r>
        <w:rPr>
          <w:rFonts w:ascii="宋体" w:hAnsi="宋体" w:hint="eastAsia"/>
          <w:bCs/>
        </w:rPr>
        <w:t>募集规模限制</w:t>
      </w:r>
    </w:p>
    <w:p w:rsidR="00B663DD" w:rsidRDefault="00227883">
      <w:pPr>
        <w:spacing w:line="360" w:lineRule="auto"/>
        <w:ind w:firstLineChars="200" w:firstLine="480"/>
        <w:rPr>
          <w:rFonts w:ascii="宋体" w:hAnsi="宋体"/>
          <w:color w:val="000000"/>
        </w:rPr>
      </w:pPr>
      <w:r>
        <w:rPr>
          <w:rFonts w:ascii="宋体" w:hAnsi="宋体" w:hint="eastAsia"/>
          <w:color w:val="000000"/>
        </w:rPr>
        <w:t>本基金为发起式基金，基金的最低募集金额为</w:t>
      </w:r>
      <w:r>
        <w:rPr>
          <w:rFonts w:ascii="宋体" w:hAnsi="宋体" w:hint="eastAsia"/>
          <w:color w:val="000000"/>
        </w:rPr>
        <w:t>1000</w:t>
      </w:r>
      <w:r>
        <w:rPr>
          <w:rFonts w:ascii="宋体" w:hAnsi="宋体" w:hint="eastAsia"/>
          <w:color w:val="000000"/>
        </w:rPr>
        <w:t>万元人民币。</w:t>
      </w:r>
    </w:p>
    <w:p w:rsidR="00B663DD" w:rsidRDefault="00227883">
      <w:pPr>
        <w:spacing w:line="360" w:lineRule="auto"/>
        <w:ind w:firstLine="200"/>
        <w:rPr>
          <w:rFonts w:ascii="宋体" w:hAnsi="宋体" w:cs="宋体-WinCharSetFFFF-H"/>
        </w:rPr>
      </w:pPr>
      <w:r>
        <w:rPr>
          <w:rFonts w:ascii="宋体" w:hAnsi="宋体" w:hint="eastAsia"/>
          <w:color w:val="000000"/>
        </w:rPr>
        <w:t xml:space="preserve"> </w:t>
      </w:r>
      <w:r>
        <w:rPr>
          <w:rFonts w:ascii="宋体" w:hAnsi="宋体"/>
          <w:color w:val="000000"/>
        </w:rPr>
        <w:t xml:space="preserve">  </w:t>
      </w:r>
      <w:r>
        <w:rPr>
          <w:rFonts w:ascii="宋体" w:hAnsi="宋体" w:hint="eastAsia"/>
        </w:rPr>
        <w:t>（十）</w:t>
      </w:r>
      <w:r>
        <w:rPr>
          <w:rFonts w:ascii="宋体" w:hAnsi="宋体" w:cs="宋体-WinCharSetFFFF-H" w:hint="eastAsia"/>
        </w:rPr>
        <w:t>募集期限</w:t>
      </w:r>
    </w:p>
    <w:p w:rsidR="00B663DD" w:rsidRDefault="00227883">
      <w:pPr>
        <w:autoSpaceDE w:val="0"/>
        <w:autoSpaceDN w:val="0"/>
        <w:adjustRightInd w:val="0"/>
        <w:spacing w:line="360" w:lineRule="auto"/>
        <w:ind w:firstLineChars="200" w:firstLine="480"/>
        <w:rPr>
          <w:rFonts w:ascii="宋体" w:hAnsi="宋体" w:cs="宋体-WinCharSetFFFF-H"/>
        </w:rPr>
      </w:pPr>
      <w:r>
        <w:rPr>
          <w:rFonts w:ascii="宋体" w:hAnsi="宋体" w:cs="宋体-WinCharSetFFFF-H" w:hint="eastAsia"/>
        </w:rPr>
        <w:t>本基金的募集期限为自基金份额发售之日起不超过</w:t>
      </w:r>
      <w:r>
        <w:rPr>
          <w:rFonts w:ascii="宋体" w:hAnsi="宋体" w:cs="宋体-WinCharSetFFFF-H" w:hint="eastAsia"/>
        </w:rPr>
        <w:t>3</w:t>
      </w:r>
      <w:r>
        <w:rPr>
          <w:rFonts w:ascii="宋体" w:hAnsi="宋体" w:cs="宋体-WinCharSetFFFF-H" w:hint="eastAsia"/>
        </w:rPr>
        <w:t>个月。</w:t>
      </w:r>
    </w:p>
    <w:p w:rsidR="00B663DD" w:rsidRDefault="00227883">
      <w:pPr>
        <w:autoSpaceDE w:val="0"/>
        <w:autoSpaceDN w:val="0"/>
        <w:adjustRightInd w:val="0"/>
        <w:spacing w:line="360" w:lineRule="auto"/>
        <w:ind w:firstLineChars="200" w:firstLine="480"/>
        <w:rPr>
          <w:rFonts w:ascii="宋体" w:hAnsi="宋体" w:cs="宋体-WinCharSetFFFF-H"/>
        </w:rPr>
      </w:pPr>
      <w:r>
        <w:rPr>
          <w:rFonts w:ascii="宋体" w:hAnsi="宋体" w:cs="宋体-WinCharSetFFFF-H" w:hint="eastAsia"/>
        </w:rPr>
        <w:t>本基金的发售期为</w:t>
      </w:r>
      <w:r>
        <w:rPr>
          <w:rFonts w:ascii="宋体" w:hAnsi="宋体" w:cs="宋体-WinCharSetFFFF-H" w:hint="eastAsia"/>
        </w:rPr>
        <w:t>2024</w:t>
      </w:r>
      <w:r>
        <w:rPr>
          <w:rFonts w:ascii="宋体" w:hAnsi="宋体" w:cs="宋体-WinCharSetFFFF-H" w:hint="eastAsia"/>
        </w:rPr>
        <w:t>年</w:t>
      </w:r>
      <w:r>
        <w:rPr>
          <w:rFonts w:ascii="宋体" w:hAnsi="宋体" w:cs="宋体-WinCharSetFFFF-H" w:hint="eastAsia"/>
        </w:rPr>
        <w:t>5</w:t>
      </w:r>
      <w:r>
        <w:rPr>
          <w:rFonts w:ascii="宋体" w:hAnsi="宋体" w:cs="宋体-WinCharSetFFFF-H" w:hint="eastAsia"/>
        </w:rPr>
        <w:t>月</w:t>
      </w:r>
      <w:r>
        <w:rPr>
          <w:rFonts w:ascii="宋体" w:hAnsi="宋体" w:cs="宋体-WinCharSetFFFF-H" w:hint="eastAsia"/>
        </w:rPr>
        <w:t>13</w:t>
      </w:r>
      <w:r>
        <w:rPr>
          <w:rFonts w:ascii="宋体" w:hAnsi="宋体" w:cs="宋体-WinCharSetFFFF-H" w:hint="eastAsia"/>
        </w:rPr>
        <w:t>日至</w:t>
      </w:r>
      <w:r>
        <w:rPr>
          <w:rFonts w:ascii="宋体" w:hAnsi="宋体" w:cs="宋体-WinCharSetFFFF-H" w:hint="eastAsia"/>
        </w:rPr>
        <w:t>2024</w:t>
      </w:r>
      <w:r>
        <w:rPr>
          <w:rFonts w:ascii="宋体" w:hAnsi="宋体" w:cs="宋体-WinCharSetFFFF-H" w:hint="eastAsia"/>
        </w:rPr>
        <w:t>年</w:t>
      </w:r>
      <w:r>
        <w:rPr>
          <w:rFonts w:ascii="宋体" w:hAnsi="宋体" w:cs="宋体-WinCharSetFFFF-H" w:hint="eastAsia"/>
        </w:rPr>
        <w:t>7</w:t>
      </w:r>
      <w:r>
        <w:rPr>
          <w:rFonts w:ascii="宋体" w:hAnsi="宋体" w:cs="宋体-WinCharSetFFFF-H" w:hint="eastAsia"/>
        </w:rPr>
        <w:t>月</w:t>
      </w:r>
      <w:r>
        <w:rPr>
          <w:rFonts w:ascii="宋体" w:hAnsi="宋体" w:cs="宋体-WinCharSetFFFF-H" w:hint="eastAsia"/>
        </w:rPr>
        <w:t>12</w:t>
      </w:r>
      <w:r>
        <w:rPr>
          <w:rFonts w:ascii="宋体" w:hAnsi="宋体" w:cs="宋体-WinCharSetFFFF-H" w:hint="eastAsia"/>
        </w:rPr>
        <w:t>日。</w:t>
      </w:r>
    </w:p>
    <w:p w:rsidR="00B663DD" w:rsidRDefault="00227883">
      <w:pPr>
        <w:autoSpaceDE w:val="0"/>
        <w:autoSpaceDN w:val="0"/>
        <w:adjustRightInd w:val="0"/>
        <w:spacing w:line="360" w:lineRule="auto"/>
        <w:ind w:firstLineChars="200" w:firstLine="480"/>
        <w:rPr>
          <w:rFonts w:ascii="宋体" w:hAnsi="宋体" w:cs="宋体-WinCharSetFFFF-H"/>
        </w:rPr>
      </w:pPr>
      <w:r>
        <w:rPr>
          <w:rFonts w:ascii="宋体" w:hAnsi="宋体" w:cs="宋体-WinCharSetFFFF-H" w:hint="eastAsia"/>
        </w:rPr>
        <w:t>基金管理人可根据基金销售情况在募集期限内适当延长、缩短或调整基金的发售时间，并及时公告。</w:t>
      </w:r>
    </w:p>
    <w:p w:rsidR="00B663DD" w:rsidRDefault="00227883">
      <w:pPr>
        <w:pStyle w:val="1"/>
        <w:spacing w:before="0" w:after="0" w:line="360" w:lineRule="auto"/>
        <w:ind w:firstLineChars="235" w:firstLine="566"/>
        <w:jc w:val="both"/>
        <w:rPr>
          <w:rFonts w:ascii="宋体" w:hAnsi="宋体"/>
          <w:bCs w:val="0"/>
          <w:kern w:val="0"/>
          <w:sz w:val="24"/>
          <w:szCs w:val="24"/>
        </w:rPr>
      </w:pPr>
      <w:r>
        <w:rPr>
          <w:rFonts w:ascii="宋体" w:hAnsi="宋体" w:hint="eastAsia"/>
          <w:bCs w:val="0"/>
          <w:kern w:val="0"/>
          <w:sz w:val="24"/>
          <w:szCs w:val="24"/>
        </w:rPr>
        <w:t>二、本基金发售的相关规定</w:t>
      </w:r>
    </w:p>
    <w:p w:rsidR="00B663DD" w:rsidRDefault="00227883">
      <w:pPr>
        <w:spacing w:line="360" w:lineRule="auto"/>
        <w:ind w:firstLineChars="235" w:firstLine="564"/>
        <w:jc w:val="both"/>
        <w:rPr>
          <w:rFonts w:ascii="宋体" w:hAnsi="宋体"/>
        </w:rPr>
      </w:pPr>
      <w:r>
        <w:rPr>
          <w:rFonts w:ascii="宋体" w:hAnsi="宋体" w:hint="eastAsia"/>
        </w:rPr>
        <w:t>（一）认购账户</w:t>
      </w:r>
    </w:p>
    <w:p w:rsidR="00B663DD" w:rsidRDefault="00227883">
      <w:pPr>
        <w:autoSpaceDE w:val="0"/>
        <w:autoSpaceDN w:val="0"/>
        <w:adjustRightInd w:val="0"/>
        <w:spacing w:line="360" w:lineRule="auto"/>
        <w:ind w:firstLineChars="235" w:firstLine="564"/>
        <w:jc w:val="both"/>
        <w:rPr>
          <w:rFonts w:ascii="宋体" w:hAnsi="宋体" w:cs="宋体"/>
        </w:rPr>
      </w:pPr>
      <w:r>
        <w:rPr>
          <w:rFonts w:ascii="宋体" w:hAnsi="宋体" w:cs="宋体" w:hint="eastAsia"/>
        </w:rPr>
        <w:t>投资者欲认购本基金，</w:t>
      </w:r>
      <w:r>
        <w:rPr>
          <w:rFonts w:ascii="宋体" w:hAnsi="宋体" w:cs="宋体"/>
        </w:rPr>
        <w:t>须开立</w:t>
      </w:r>
      <w:r>
        <w:rPr>
          <w:rFonts w:ascii="宋体" w:hAnsi="宋体" w:cs="宋体" w:hint="eastAsia"/>
        </w:rPr>
        <w:t>本公司基金账户，已经有该类账户的投资者不须另行开立。</w:t>
      </w:r>
    </w:p>
    <w:p w:rsidR="00B663DD" w:rsidRDefault="00227883">
      <w:pPr>
        <w:autoSpaceDE w:val="0"/>
        <w:autoSpaceDN w:val="0"/>
        <w:adjustRightInd w:val="0"/>
        <w:spacing w:line="360" w:lineRule="auto"/>
        <w:ind w:firstLineChars="235" w:firstLine="564"/>
        <w:jc w:val="both"/>
        <w:rPr>
          <w:rFonts w:ascii="宋体" w:hAnsi="宋体"/>
          <w:szCs w:val="21"/>
        </w:rPr>
      </w:pPr>
      <w:r>
        <w:rPr>
          <w:rFonts w:ascii="宋体" w:hAnsi="宋体" w:hint="eastAsia"/>
          <w:szCs w:val="21"/>
        </w:rPr>
        <w:t>（二）认购方式</w:t>
      </w:r>
    </w:p>
    <w:p w:rsidR="00B663DD" w:rsidRDefault="00227883">
      <w:pPr>
        <w:autoSpaceDE w:val="0"/>
        <w:autoSpaceDN w:val="0"/>
        <w:adjustRightInd w:val="0"/>
        <w:spacing w:line="360" w:lineRule="auto"/>
        <w:ind w:firstLineChars="235" w:firstLine="564"/>
        <w:jc w:val="both"/>
        <w:rPr>
          <w:rFonts w:ascii="宋体" w:hAnsi="宋体" w:cs="宋体"/>
        </w:rPr>
      </w:pPr>
      <w:r>
        <w:rPr>
          <w:rFonts w:ascii="宋体" w:hAnsi="宋体" w:cs="宋体" w:hint="eastAsia"/>
        </w:rPr>
        <w:t>本基金认购采取全额缴款认购的方式。若资金未全额到账则认购无效，</w:t>
      </w:r>
      <w:r>
        <w:rPr>
          <w:rFonts w:ascii="宋体" w:hAnsi="宋体" w:cs="宋体"/>
        </w:rPr>
        <w:t>基金管理人</w:t>
      </w:r>
      <w:r>
        <w:rPr>
          <w:rFonts w:ascii="宋体" w:hAnsi="宋体" w:cs="宋体" w:hint="eastAsia"/>
        </w:rPr>
        <w:t>将认购无效的款项退回</w:t>
      </w:r>
      <w:r>
        <w:rPr>
          <w:rFonts w:ascii="宋体" w:hAnsi="宋体" w:cs="宋体"/>
        </w:rPr>
        <w:t>。</w:t>
      </w:r>
    </w:p>
    <w:p w:rsidR="00B663DD" w:rsidRDefault="00227883">
      <w:pPr>
        <w:autoSpaceDE w:val="0"/>
        <w:autoSpaceDN w:val="0"/>
        <w:adjustRightInd w:val="0"/>
        <w:spacing w:line="360" w:lineRule="auto"/>
        <w:ind w:firstLineChars="200" w:firstLine="480"/>
        <w:rPr>
          <w:rFonts w:ascii="宋体" w:hAnsi="宋体" w:cs="宋体-WinCharSetFFFF-H"/>
        </w:rPr>
      </w:pPr>
      <w:r>
        <w:rPr>
          <w:rFonts w:ascii="宋体" w:hAnsi="宋体" w:cs="宋体-WinCharSetFFFF-H" w:hint="eastAsia"/>
        </w:rPr>
        <w:t>投资者在募集期内可多次认购基金份额，认购申请一经受理，不得撤销。</w:t>
      </w:r>
    </w:p>
    <w:p w:rsidR="00B663DD" w:rsidRDefault="00227883">
      <w:pPr>
        <w:autoSpaceDE w:val="0"/>
        <w:autoSpaceDN w:val="0"/>
        <w:adjustRightInd w:val="0"/>
        <w:spacing w:line="360" w:lineRule="auto"/>
        <w:ind w:firstLineChars="235" w:firstLine="564"/>
        <w:jc w:val="both"/>
        <w:rPr>
          <w:rFonts w:ascii="宋体" w:hAnsi="宋体"/>
          <w:bCs/>
        </w:rPr>
      </w:pPr>
      <w:r>
        <w:rPr>
          <w:rFonts w:ascii="宋体" w:hAnsi="宋体" w:hint="eastAsia"/>
          <w:bCs/>
        </w:rPr>
        <w:t>（三）认购费率</w:t>
      </w:r>
    </w:p>
    <w:p w:rsidR="00B663DD" w:rsidRDefault="00227883">
      <w:pPr>
        <w:spacing w:line="360" w:lineRule="auto"/>
        <w:ind w:firstLineChars="200" w:firstLine="480"/>
        <w:rPr>
          <w:rFonts w:ascii="宋体" w:hAnsi="宋体"/>
          <w:color w:val="000000"/>
        </w:rPr>
      </w:pPr>
      <w:r>
        <w:rPr>
          <w:rFonts w:ascii="宋体" w:hAnsi="宋体" w:hint="eastAsia"/>
          <w:color w:val="000000"/>
        </w:rPr>
        <w:t>1</w:t>
      </w:r>
      <w:r>
        <w:rPr>
          <w:rFonts w:ascii="宋体" w:hAnsi="宋体" w:hint="eastAsia"/>
          <w:color w:val="000000"/>
        </w:rPr>
        <w:t>、本基金份额发售面值为人民币</w:t>
      </w:r>
      <w:r>
        <w:rPr>
          <w:rFonts w:ascii="宋体" w:hAnsi="宋体"/>
          <w:color w:val="000000"/>
        </w:rPr>
        <w:t>1.00</w:t>
      </w:r>
      <w:r>
        <w:rPr>
          <w:rFonts w:ascii="宋体" w:hAnsi="宋体" w:hint="eastAsia"/>
          <w:color w:val="000000"/>
        </w:rPr>
        <w:t>元，按面值发售。</w:t>
      </w:r>
    </w:p>
    <w:p w:rsidR="00B663DD" w:rsidRDefault="00227883">
      <w:pPr>
        <w:spacing w:line="360" w:lineRule="auto"/>
        <w:ind w:firstLineChars="200" w:firstLine="480"/>
        <w:rPr>
          <w:rFonts w:ascii="宋体" w:hAnsi="宋体" w:cs="Arial"/>
          <w:color w:val="000000"/>
        </w:rPr>
      </w:pPr>
      <w:r>
        <w:rPr>
          <w:rFonts w:ascii="宋体" w:hAnsi="宋体" w:cs="Arial" w:hint="eastAsia"/>
          <w:color w:val="000000"/>
        </w:rPr>
        <w:t>2</w:t>
      </w:r>
      <w:r>
        <w:rPr>
          <w:rFonts w:ascii="宋体" w:hAnsi="宋体" w:cs="Arial" w:hint="eastAsia"/>
          <w:color w:val="000000"/>
        </w:rPr>
        <w:t>、认购费用</w:t>
      </w:r>
    </w:p>
    <w:p w:rsidR="00B663DD" w:rsidRDefault="00227883">
      <w:pPr>
        <w:spacing w:line="360" w:lineRule="auto"/>
        <w:ind w:firstLineChars="200" w:firstLine="480"/>
        <w:rPr>
          <w:rFonts w:ascii="宋体" w:hAnsi="宋体" w:cs="Arial"/>
          <w:color w:val="000000"/>
        </w:rPr>
      </w:pPr>
      <w:r>
        <w:rPr>
          <w:rFonts w:ascii="宋体" w:hAnsi="宋体" w:cs="Arial" w:hint="eastAsia"/>
          <w:color w:val="000000"/>
        </w:rPr>
        <w:t>募集期投资人可以多次认购本基金，认购费率按每笔认购申请单独计算。</w:t>
      </w:r>
    </w:p>
    <w:p w:rsidR="00B663DD" w:rsidRDefault="00227883">
      <w:pPr>
        <w:spacing w:line="360" w:lineRule="auto"/>
        <w:ind w:firstLineChars="200" w:firstLine="480"/>
        <w:rPr>
          <w:rFonts w:ascii="宋体" w:hAnsi="宋体" w:cs="Arial"/>
          <w:color w:val="000000"/>
        </w:rPr>
      </w:pPr>
      <w:r>
        <w:rPr>
          <w:rFonts w:ascii="宋体" w:hAnsi="宋体" w:cs="Arial" w:hint="eastAsia"/>
          <w:color w:val="000000"/>
        </w:rPr>
        <w:t>本基金分为</w:t>
      </w:r>
      <w:r>
        <w:rPr>
          <w:rFonts w:ascii="宋体" w:hAnsi="宋体" w:cs="Arial" w:hint="eastAsia"/>
          <w:color w:val="000000"/>
        </w:rPr>
        <w:t>A</w:t>
      </w:r>
      <w:r>
        <w:rPr>
          <w:rFonts w:ascii="宋体" w:hAnsi="宋体" w:cs="Arial" w:hint="eastAsia"/>
          <w:color w:val="000000"/>
        </w:rPr>
        <w:t>类和</w:t>
      </w:r>
      <w:r>
        <w:rPr>
          <w:rFonts w:ascii="宋体" w:hAnsi="宋体" w:cs="Arial" w:hint="eastAsia"/>
          <w:color w:val="000000"/>
        </w:rPr>
        <w:t>C</w:t>
      </w:r>
      <w:r>
        <w:rPr>
          <w:rFonts w:ascii="宋体" w:hAnsi="宋体" w:cs="Arial" w:hint="eastAsia"/>
          <w:color w:val="000000"/>
        </w:rPr>
        <w:t>类基金份额。投资人在认购</w:t>
      </w:r>
      <w:r>
        <w:rPr>
          <w:rFonts w:ascii="宋体" w:hAnsi="宋体" w:cs="Arial" w:hint="eastAsia"/>
          <w:color w:val="000000"/>
        </w:rPr>
        <w:t>A</w:t>
      </w:r>
      <w:r>
        <w:rPr>
          <w:rFonts w:ascii="宋体" w:hAnsi="宋体" w:cs="Arial" w:hint="eastAsia"/>
          <w:color w:val="000000"/>
        </w:rPr>
        <w:t>类基金份额时支付认购费用，认购</w:t>
      </w:r>
      <w:r>
        <w:rPr>
          <w:rFonts w:ascii="宋体" w:hAnsi="宋体" w:cs="Arial" w:hint="eastAsia"/>
          <w:color w:val="000000"/>
        </w:rPr>
        <w:t>C</w:t>
      </w:r>
      <w:r>
        <w:rPr>
          <w:rFonts w:ascii="宋体" w:hAnsi="宋体" w:cs="Arial" w:hint="eastAsia"/>
          <w:color w:val="000000"/>
        </w:rPr>
        <w:t>类基金份额不支付认购费用。</w:t>
      </w:r>
    </w:p>
    <w:p w:rsidR="00B663DD" w:rsidRDefault="00227883">
      <w:pPr>
        <w:spacing w:line="360" w:lineRule="auto"/>
        <w:ind w:firstLineChars="200" w:firstLine="480"/>
        <w:rPr>
          <w:rFonts w:ascii="宋体" w:hAnsi="宋体" w:cs="Arial"/>
          <w:color w:val="000000"/>
        </w:rPr>
      </w:pPr>
      <w:r>
        <w:rPr>
          <w:rFonts w:ascii="宋体" w:hAnsi="宋体" w:cs="Arial" w:hint="eastAsia"/>
          <w:color w:val="000000"/>
        </w:rPr>
        <w:t>本基金</w:t>
      </w:r>
      <w:r>
        <w:rPr>
          <w:rFonts w:ascii="宋体" w:hAnsi="宋体" w:cs="Arial" w:hint="eastAsia"/>
          <w:color w:val="000000"/>
        </w:rPr>
        <w:t>A</w:t>
      </w:r>
      <w:r>
        <w:rPr>
          <w:rFonts w:ascii="宋体" w:hAnsi="宋体" w:cs="Arial" w:hint="eastAsia"/>
          <w:color w:val="000000"/>
        </w:rPr>
        <w:t>类基金份额的认购费率见下表：</w:t>
      </w: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gridCol w:w="4332"/>
      </w:tblGrid>
      <w:tr w:rsidR="00B663DD">
        <w:trPr>
          <w:trHeight w:val="70"/>
          <w:jc w:val="center"/>
        </w:trPr>
        <w:tc>
          <w:tcPr>
            <w:tcW w:w="2272" w:type="pct"/>
            <w:vAlign w:val="center"/>
          </w:tcPr>
          <w:p w:rsidR="00B663DD" w:rsidRDefault="00227883">
            <w:pPr>
              <w:widowControl w:val="0"/>
              <w:spacing w:line="360" w:lineRule="auto"/>
              <w:jc w:val="center"/>
              <w:rPr>
                <w:rFonts w:ascii="宋体" w:eastAsia="宋体" w:hAnsi="宋体" w:cs="Times New Roman"/>
                <w:bCs/>
                <w:kern w:val="2"/>
              </w:rPr>
            </w:pPr>
            <w:r>
              <w:rPr>
                <w:rFonts w:ascii="宋体" w:eastAsia="宋体" w:hAnsi="宋体" w:cs="Times New Roman" w:hint="eastAsia"/>
                <w:bCs/>
                <w:kern w:val="2"/>
              </w:rPr>
              <w:t>认购金额（</w:t>
            </w:r>
            <w:r>
              <w:rPr>
                <w:rFonts w:ascii="宋体" w:eastAsia="宋体" w:hAnsi="宋体" w:cs="Times New Roman"/>
                <w:bCs/>
                <w:kern w:val="2"/>
              </w:rPr>
              <w:t>M</w:t>
            </w:r>
            <w:r>
              <w:rPr>
                <w:rFonts w:ascii="宋体" w:eastAsia="宋体" w:hAnsi="宋体" w:cs="Times New Roman" w:hint="eastAsia"/>
                <w:bCs/>
                <w:kern w:val="2"/>
              </w:rPr>
              <w:t>）</w:t>
            </w:r>
          </w:p>
        </w:tc>
        <w:tc>
          <w:tcPr>
            <w:tcW w:w="2728" w:type="pct"/>
            <w:vAlign w:val="center"/>
          </w:tcPr>
          <w:p w:rsidR="00B663DD" w:rsidRDefault="00227883">
            <w:pPr>
              <w:widowControl w:val="0"/>
              <w:spacing w:line="360" w:lineRule="auto"/>
              <w:jc w:val="center"/>
              <w:rPr>
                <w:rFonts w:ascii="宋体" w:eastAsia="宋体" w:hAnsi="宋体" w:cs="Times New Roman"/>
                <w:bCs/>
                <w:kern w:val="2"/>
              </w:rPr>
            </w:pPr>
            <w:r>
              <w:rPr>
                <w:rFonts w:ascii="宋体" w:eastAsia="宋体" w:hAnsi="宋体" w:cs="Times New Roman" w:hint="eastAsia"/>
                <w:bCs/>
                <w:kern w:val="2"/>
              </w:rPr>
              <w:t>费率</w:t>
            </w:r>
          </w:p>
        </w:tc>
      </w:tr>
      <w:tr w:rsidR="00B663DD">
        <w:trPr>
          <w:trHeight w:val="70"/>
          <w:jc w:val="center"/>
        </w:trPr>
        <w:tc>
          <w:tcPr>
            <w:tcW w:w="2272" w:type="pct"/>
            <w:vAlign w:val="center"/>
          </w:tcPr>
          <w:p w:rsidR="00B663DD" w:rsidRDefault="00227883">
            <w:pPr>
              <w:widowControl w:val="0"/>
              <w:spacing w:line="360" w:lineRule="auto"/>
              <w:jc w:val="center"/>
              <w:rPr>
                <w:rFonts w:ascii="宋体" w:eastAsia="宋体" w:hAnsi="宋体" w:cs="Times New Roman"/>
                <w:bCs/>
                <w:kern w:val="2"/>
              </w:rPr>
            </w:pPr>
            <w:r>
              <w:rPr>
                <w:rFonts w:ascii="宋体" w:eastAsia="宋体" w:hAnsi="宋体" w:cs="Arial" w:hint="eastAsia"/>
                <w:kern w:val="2"/>
              </w:rPr>
              <w:t>M</w:t>
            </w:r>
            <w:r>
              <w:rPr>
                <w:rFonts w:ascii="宋体" w:eastAsia="宋体" w:hAnsi="宋体" w:cs="Arial" w:hint="eastAsia"/>
                <w:kern w:val="2"/>
              </w:rPr>
              <w:t>＜</w:t>
            </w:r>
            <w:r>
              <w:rPr>
                <w:rFonts w:ascii="宋体" w:eastAsia="宋体" w:hAnsi="宋体" w:cs="Arial"/>
                <w:kern w:val="2"/>
              </w:rPr>
              <w:t>100</w:t>
            </w:r>
            <w:r>
              <w:rPr>
                <w:rFonts w:ascii="宋体" w:eastAsia="宋体" w:hAnsi="宋体" w:cs="Arial" w:hint="eastAsia"/>
                <w:kern w:val="2"/>
              </w:rPr>
              <w:t>万元</w:t>
            </w:r>
          </w:p>
        </w:tc>
        <w:tc>
          <w:tcPr>
            <w:tcW w:w="2728" w:type="pct"/>
          </w:tcPr>
          <w:p w:rsidR="00B663DD" w:rsidRDefault="00227883">
            <w:pPr>
              <w:widowControl w:val="0"/>
              <w:spacing w:line="360" w:lineRule="auto"/>
              <w:jc w:val="center"/>
              <w:rPr>
                <w:rFonts w:ascii="宋体" w:eastAsia="宋体" w:hAnsi="宋体" w:cs="Times New Roman"/>
                <w:bCs/>
                <w:kern w:val="2"/>
              </w:rPr>
            </w:pPr>
            <w:r>
              <w:rPr>
                <w:rFonts w:ascii="宋体" w:eastAsia="宋体" w:hAnsi="宋体" w:cs="Arial"/>
                <w:kern w:val="2"/>
              </w:rPr>
              <w:t>1.20%</w:t>
            </w:r>
          </w:p>
        </w:tc>
      </w:tr>
      <w:tr w:rsidR="00B663DD">
        <w:trPr>
          <w:trHeight w:val="70"/>
          <w:jc w:val="center"/>
        </w:trPr>
        <w:tc>
          <w:tcPr>
            <w:tcW w:w="2272" w:type="pct"/>
            <w:vAlign w:val="center"/>
          </w:tcPr>
          <w:p w:rsidR="00B663DD" w:rsidRDefault="00227883">
            <w:pPr>
              <w:widowControl w:val="0"/>
              <w:spacing w:line="360" w:lineRule="auto"/>
              <w:jc w:val="center"/>
              <w:rPr>
                <w:rFonts w:ascii="宋体" w:eastAsia="宋体" w:hAnsi="宋体" w:cs="Times New Roman"/>
                <w:bCs/>
                <w:kern w:val="2"/>
              </w:rPr>
            </w:pPr>
            <w:r>
              <w:rPr>
                <w:rFonts w:ascii="宋体" w:eastAsia="宋体" w:hAnsi="宋体" w:cs="Arial"/>
                <w:kern w:val="2"/>
              </w:rPr>
              <w:t>100</w:t>
            </w:r>
            <w:r>
              <w:rPr>
                <w:rFonts w:ascii="宋体" w:eastAsia="宋体" w:hAnsi="宋体" w:cs="Arial" w:hint="eastAsia"/>
                <w:kern w:val="2"/>
              </w:rPr>
              <w:t>万元≤</w:t>
            </w:r>
            <w:r>
              <w:rPr>
                <w:rFonts w:ascii="宋体" w:eastAsia="宋体" w:hAnsi="宋体" w:cs="Arial"/>
                <w:kern w:val="2"/>
              </w:rPr>
              <w:t>M</w:t>
            </w:r>
            <w:r>
              <w:rPr>
                <w:rFonts w:ascii="宋体" w:eastAsia="宋体" w:hAnsi="宋体" w:cs="Arial"/>
                <w:kern w:val="2"/>
              </w:rPr>
              <w:t>＜</w:t>
            </w:r>
            <w:r>
              <w:rPr>
                <w:rFonts w:ascii="宋体" w:eastAsia="宋体" w:hAnsi="宋体" w:cs="Arial"/>
                <w:kern w:val="2"/>
              </w:rPr>
              <w:t>200</w:t>
            </w:r>
            <w:r>
              <w:rPr>
                <w:rFonts w:ascii="宋体" w:eastAsia="宋体" w:hAnsi="宋体" w:cs="Arial" w:hint="eastAsia"/>
                <w:kern w:val="2"/>
              </w:rPr>
              <w:t>万元</w:t>
            </w:r>
          </w:p>
        </w:tc>
        <w:tc>
          <w:tcPr>
            <w:tcW w:w="2728" w:type="pct"/>
          </w:tcPr>
          <w:p w:rsidR="00B663DD" w:rsidRDefault="00227883">
            <w:pPr>
              <w:widowControl w:val="0"/>
              <w:spacing w:line="360" w:lineRule="auto"/>
              <w:jc w:val="center"/>
              <w:rPr>
                <w:rFonts w:ascii="宋体" w:eastAsia="宋体" w:hAnsi="宋体" w:cs="Times New Roman"/>
                <w:bCs/>
                <w:kern w:val="2"/>
              </w:rPr>
            </w:pPr>
            <w:r>
              <w:rPr>
                <w:rFonts w:ascii="宋体" w:eastAsia="宋体" w:hAnsi="宋体" w:cs="Arial"/>
                <w:kern w:val="2"/>
              </w:rPr>
              <w:t>0.80%</w:t>
            </w:r>
          </w:p>
        </w:tc>
      </w:tr>
      <w:tr w:rsidR="00B663DD">
        <w:trPr>
          <w:trHeight w:val="70"/>
          <w:jc w:val="center"/>
        </w:trPr>
        <w:tc>
          <w:tcPr>
            <w:tcW w:w="2272" w:type="pct"/>
            <w:vAlign w:val="center"/>
          </w:tcPr>
          <w:p w:rsidR="00B663DD" w:rsidRDefault="00227883">
            <w:pPr>
              <w:widowControl w:val="0"/>
              <w:spacing w:line="360" w:lineRule="auto"/>
              <w:jc w:val="center"/>
              <w:rPr>
                <w:rFonts w:ascii="宋体" w:eastAsia="宋体" w:hAnsi="宋体" w:cs="Arial"/>
                <w:kern w:val="2"/>
              </w:rPr>
            </w:pPr>
            <w:r>
              <w:rPr>
                <w:rFonts w:ascii="宋体" w:eastAsia="宋体" w:hAnsi="宋体" w:cs="Arial"/>
                <w:kern w:val="2"/>
              </w:rPr>
              <w:t>200</w:t>
            </w:r>
            <w:r>
              <w:rPr>
                <w:rFonts w:ascii="宋体" w:eastAsia="宋体" w:hAnsi="宋体" w:cs="Arial"/>
                <w:kern w:val="2"/>
              </w:rPr>
              <w:t>万元</w:t>
            </w:r>
            <w:r>
              <w:rPr>
                <w:rFonts w:ascii="宋体" w:eastAsia="宋体" w:hAnsi="宋体" w:cs="Arial"/>
                <w:kern w:val="2"/>
              </w:rPr>
              <w:t>≤M</w:t>
            </w:r>
            <w:r>
              <w:rPr>
                <w:rFonts w:ascii="宋体" w:eastAsia="宋体" w:hAnsi="宋体" w:cs="Arial"/>
                <w:kern w:val="2"/>
              </w:rPr>
              <w:t>＜</w:t>
            </w:r>
            <w:r>
              <w:rPr>
                <w:rFonts w:ascii="宋体" w:eastAsia="宋体" w:hAnsi="宋体" w:cs="Arial"/>
                <w:kern w:val="2"/>
              </w:rPr>
              <w:t>500</w:t>
            </w:r>
            <w:r>
              <w:rPr>
                <w:rFonts w:ascii="宋体" w:eastAsia="宋体" w:hAnsi="宋体" w:cs="Arial"/>
                <w:kern w:val="2"/>
              </w:rPr>
              <w:t>万元</w:t>
            </w:r>
          </w:p>
        </w:tc>
        <w:tc>
          <w:tcPr>
            <w:tcW w:w="2728" w:type="pct"/>
          </w:tcPr>
          <w:p w:rsidR="00B663DD" w:rsidRDefault="00227883">
            <w:pPr>
              <w:widowControl w:val="0"/>
              <w:spacing w:line="360" w:lineRule="auto"/>
              <w:jc w:val="center"/>
              <w:rPr>
                <w:rFonts w:ascii="宋体" w:eastAsia="宋体" w:hAnsi="宋体" w:cs="Arial"/>
                <w:kern w:val="2"/>
              </w:rPr>
            </w:pPr>
            <w:r>
              <w:rPr>
                <w:rFonts w:ascii="宋体" w:eastAsia="宋体" w:hAnsi="宋体" w:cs="Arial"/>
                <w:kern w:val="2"/>
              </w:rPr>
              <w:t>0.50%</w:t>
            </w:r>
          </w:p>
        </w:tc>
      </w:tr>
      <w:tr w:rsidR="00B663DD">
        <w:trPr>
          <w:cantSplit/>
          <w:jc w:val="center"/>
        </w:trPr>
        <w:tc>
          <w:tcPr>
            <w:tcW w:w="2272" w:type="pct"/>
            <w:vAlign w:val="center"/>
          </w:tcPr>
          <w:p w:rsidR="00B663DD" w:rsidRDefault="00227883">
            <w:pPr>
              <w:widowControl w:val="0"/>
              <w:spacing w:line="360" w:lineRule="auto"/>
              <w:jc w:val="center"/>
              <w:rPr>
                <w:rFonts w:ascii="宋体" w:eastAsia="宋体" w:hAnsi="宋体" w:cs="Times New Roman"/>
                <w:bCs/>
                <w:kern w:val="2"/>
              </w:rPr>
            </w:pPr>
            <w:r>
              <w:rPr>
                <w:rFonts w:ascii="宋体" w:eastAsia="宋体" w:hAnsi="宋体" w:cs="Arial" w:hint="eastAsia"/>
                <w:kern w:val="2"/>
              </w:rPr>
              <w:t>M</w:t>
            </w:r>
            <w:r>
              <w:rPr>
                <w:rFonts w:ascii="宋体" w:eastAsia="宋体" w:hAnsi="宋体" w:cs="Arial" w:hint="eastAsia"/>
                <w:kern w:val="2"/>
              </w:rPr>
              <w:t>≥</w:t>
            </w:r>
            <w:r>
              <w:rPr>
                <w:rFonts w:ascii="宋体" w:eastAsia="宋体" w:hAnsi="宋体" w:cs="Arial"/>
                <w:kern w:val="2"/>
              </w:rPr>
              <w:t>500</w:t>
            </w:r>
            <w:r>
              <w:rPr>
                <w:rFonts w:ascii="宋体" w:eastAsia="宋体" w:hAnsi="宋体" w:cs="Arial" w:hint="eastAsia"/>
                <w:kern w:val="2"/>
              </w:rPr>
              <w:t>万元</w:t>
            </w:r>
          </w:p>
        </w:tc>
        <w:tc>
          <w:tcPr>
            <w:tcW w:w="2728" w:type="pct"/>
          </w:tcPr>
          <w:p w:rsidR="00B663DD" w:rsidRDefault="00227883">
            <w:pPr>
              <w:widowControl w:val="0"/>
              <w:spacing w:line="360" w:lineRule="auto"/>
              <w:jc w:val="center"/>
              <w:rPr>
                <w:rFonts w:ascii="宋体" w:eastAsia="宋体" w:hAnsi="宋体" w:cs="Times New Roman"/>
                <w:bCs/>
                <w:kern w:val="2"/>
              </w:rPr>
            </w:pPr>
            <w:r>
              <w:rPr>
                <w:rFonts w:ascii="宋体" w:eastAsia="宋体" w:hAnsi="宋体" w:cs="Arial" w:hint="eastAsia"/>
                <w:kern w:val="2"/>
              </w:rPr>
              <w:t>每笔</w:t>
            </w:r>
            <w:r>
              <w:rPr>
                <w:rFonts w:ascii="宋体" w:eastAsia="宋体" w:hAnsi="宋体" w:cs="Arial" w:hint="eastAsia"/>
                <w:kern w:val="2"/>
              </w:rPr>
              <w:t>100</w:t>
            </w:r>
            <w:r>
              <w:rPr>
                <w:rFonts w:ascii="宋体" w:eastAsia="宋体" w:hAnsi="宋体" w:cs="Arial"/>
                <w:kern w:val="2"/>
              </w:rPr>
              <w:t>0</w:t>
            </w:r>
            <w:r>
              <w:rPr>
                <w:rFonts w:ascii="宋体" w:eastAsia="宋体" w:hAnsi="宋体" w:cs="Arial" w:hint="eastAsia"/>
                <w:kern w:val="2"/>
              </w:rPr>
              <w:t>元</w:t>
            </w:r>
          </w:p>
        </w:tc>
      </w:tr>
    </w:tbl>
    <w:p w:rsidR="00B663DD" w:rsidRDefault="00227883">
      <w:pPr>
        <w:spacing w:line="360" w:lineRule="auto"/>
        <w:rPr>
          <w:rFonts w:ascii="宋体" w:hAnsi="宋体" w:cs="Arial"/>
          <w:color w:val="000000"/>
        </w:rPr>
      </w:pPr>
      <w:r>
        <w:rPr>
          <w:rFonts w:ascii="宋体" w:hAnsi="宋体" w:cs="Arial" w:hint="eastAsia"/>
          <w:color w:val="000000"/>
        </w:rPr>
        <w:t xml:space="preserve"> </w:t>
      </w:r>
      <w:r>
        <w:rPr>
          <w:rFonts w:ascii="宋体" w:hAnsi="宋体" w:cs="Arial"/>
          <w:color w:val="000000"/>
        </w:rPr>
        <w:t xml:space="preserve">   </w:t>
      </w:r>
      <w:r>
        <w:rPr>
          <w:rFonts w:ascii="宋体" w:hAnsi="宋体" w:cs="Arial" w:hint="eastAsia"/>
          <w:color w:val="000000"/>
        </w:rPr>
        <w:t>本基金</w:t>
      </w:r>
      <w:r>
        <w:rPr>
          <w:rFonts w:ascii="宋体" w:hAnsi="宋体" w:cs="Arial" w:hint="eastAsia"/>
          <w:color w:val="000000"/>
        </w:rPr>
        <w:t>A</w:t>
      </w:r>
      <w:r>
        <w:rPr>
          <w:rFonts w:ascii="宋体" w:hAnsi="宋体" w:cs="Arial" w:hint="eastAsia"/>
          <w:color w:val="000000"/>
        </w:rPr>
        <w:t>类基金份额的认购费用由认购</w:t>
      </w:r>
      <w:r>
        <w:rPr>
          <w:rFonts w:ascii="宋体" w:hAnsi="宋体" w:cs="Arial" w:hint="eastAsia"/>
          <w:color w:val="000000"/>
        </w:rPr>
        <w:t>A</w:t>
      </w:r>
      <w:r>
        <w:rPr>
          <w:rFonts w:ascii="宋体" w:hAnsi="宋体" w:cs="Arial" w:hint="eastAsia"/>
          <w:color w:val="000000"/>
        </w:rPr>
        <w:t>类基金份额的投资人承担，不列入基金财产，主要用于基金的市场推广、销售、登记等募集期间发生的各项费用。</w:t>
      </w:r>
    </w:p>
    <w:p w:rsidR="00B663DD" w:rsidRDefault="00227883">
      <w:pPr>
        <w:spacing w:line="360" w:lineRule="auto"/>
        <w:rPr>
          <w:rFonts w:ascii="宋体" w:hAnsi="宋体" w:cs="Arial"/>
          <w:color w:val="000000"/>
        </w:rPr>
      </w:pPr>
      <w:r>
        <w:rPr>
          <w:rFonts w:ascii="宋体" w:hAnsi="宋体" w:cs="Arial"/>
          <w:color w:val="000000"/>
        </w:rPr>
        <w:t xml:space="preserve">    </w:t>
      </w:r>
      <w:r>
        <w:rPr>
          <w:rFonts w:ascii="宋体" w:hAnsi="宋体" w:cs="Arial" w:hint="eastAsia"/>
          <w:color w:val="000000"/>
        </w:rPr>
        <w:t>认购费率优惠活动以各销售机构为准。</w:t>
      </w:r>
    </w:p>
    <w:p w:rsidR="00B663DD" w:rsidRDefault="00227883">
      <w:pPr>
        <w:spacing w:line="360" w:lineRule="auto"/>
        <w:ind w:firstLineChars="200" w:firstLine="480"/>
        <w:rPr>
          <w:rFonts w:ascii="宋体" w:hAnsi="宋体" w:cs="Arial"/>
          <w:color w:val="000000"/>
        </w:rPr>
      </w:pPr>
      <w:r>
        <w:rPr>
          <w:rFonts w:ascii="宋体" w:hAnsi="宋体" w:cs="Arial" w:hint="eastAsia"/>
          <w:color w:val="000000"/>
        </w:rPr>
        <w:t>3</w:t>
      </w:r>
      <w:r>
        <w:rPr>
          <w:rFonts w:ascii="宋体" w:hAnsi="宋体" w:cs="Arial" w:hint="eastAsia"/>
          <w:color w:val="000000"/>
        </w:rPr>
        <w:t>、认购份额的计算</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基金认购采用“金额认购、份额确认”的方式。</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w:t>
      </w:r>
      <w:r>
        <w:rPr>
          <w:rFonts w:ascii="宋体" w:hAnsi="宋体" w:cs="宋体-WinCharSetFFFF-H" w:hint="eastAsia"/>
        </w:rPr>
        <w:t>1</w:t>
      </w:r>
      <w:r>
        <w:rPr>
          <w:rFonts w:ascii="宋体" w:hAnsi="宋体" w:cs="宋体-WinCharSetFFFF-H" w:hint="eastAsia"/>
        </w:rPr>
        <w:t>）</w:t>
      </w:r>
      <w:r>
        <w:rPr>
          <w:rFonts w:ascii="宋体" w:hAnsi="宋体" w:cs="宋体-WinCharSetFFFF-H" w:hint="eastAsia"/>
        </w:rPr>
        <w:t>A</w:t>
      </w:r>
      <w:r>
        <w:rPr>
          <w:rFonts w:ascii="宋体" w:hAnsi="宋体" w:cs="宋体-WinCharSetFFFF-H" w:hint="eastAsia"/>
        </w:rPr>
        <w:t>类基金份额的认购</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A</w:t>
      </w:r>
      <w:r>
        <w:rPr>
          <w:rFonts w:ascii="宋体" w:hAnsi="宋体" w:cs="宋体-WinCharSetFFFF-H" w:hint="eastAsia"/>
        </w:rPr>
        <w:t>类基金份额的认购金额包括认购费用和净认购金额。认购份额的计算公式为：</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净认购金额＝认购金额／（</w:t>
      </w:r>
      <w:r>
        <w:rPr>
          <w:rFonts w:ascii="宋体" w:hAnsi="宋体" w:cs="宋体-WinCharSetFFFF-H" w:hint="eastAsia"/>
        </w:rPr>
        <w:t>1</w:t>
      </w:r>
      <w:r>
        <w:rPr>
          <w:rFonts w:ascii="宋体" w:hAnsi="宋体" w:cs="宋体-WinCharSetFFFF-H" w:hint="eastAsia"/>
        </w:rPr>
        <w:t>＋认购费率）</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（注：对于</w:t>
      </w:r>
      <w:r>
        <w:rPr>
          <w:rFonts w:ascii="宋体" w:hAnsi="宋体" w:cs="宋体-WinCharSetFFFF-H" w:hint="eastAsia"/>
        </w:rPr>
        <w:t>500</w:t>
      </w:r>
      <w:r>
        <w:rPr>
          <w:rFonts w:ascii="宋体" w:hAnsi="宋体" w:cs="宋体-WinCharSetFFFF-H" w:hint="eastAsia"/>
        </w:rPr>
        <w:t>万元（含）以上的适用绝对费用数额的认购，净认购金额＝认购金额－固定认购费用）</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认购费用＝认购金额－净认购金额</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（注：对于</w:t>
      </w:r>
      <w:r>
        <w:rPr>
          <w:rFonts w:ascii="宋体" w:hAnsi="宋体" w:cs="宋体-WinCharSetFFFF-H" w:hint="eastAsia"/>
        </w:rPr>
        <w:t>500</w:t>
      </w:r>
      <w:r>
        <w:rPr>
          <w:rFonts w:ascii="宋体" w:hAnsi="宋体" w:cs="宋体-WinCharSetFFFF-H" w:hint="eastAsia"/>
        </w:rPr>
        <w:t>万元（含）以上的适用绝对费用数额的认购，认购费用＝固定认购费用）</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认购份额＝（净认购金额</w:t>
      </w:r>
      <w:r>
        <w:rPr>
          <w:rFonts w:ascii="宋体" w:hAnsi="宋体" w:cs="宋体-WinCharSetFFFF-H" w:hint="eastAsia"/>
        </w:rPr>
        <w:t>+</w:t>
      </w:r>
      <w:r>
        <w:rPr>
          <w:rFonts w:ascii="宋体" w:hAnsi="宋体" w:cs="宋体-WinCharSetFFFF-H" w:hint="eastAsia"/>
        </w:rPr>
        <w:t>认购利息）</w:t>
      </w:r>
      <w:r>
        <w:rPr>
          <w:rFonts w:ascii="宋体" w:hAnsi="宋体" w:cs="宋体-WinCharSetFFFF-H" w:hint="eastAsia"/>
        </w:rPr>
        <w:t>/</w:t>
      </w:r>
      <w:r>
        <w:rPr>
          <w:rFonts w:ascii="宋体" w:hAnsi="宋体" w:cs="宋体-WinCharSetFFFF-H" w:hint="eastAsia"/>
        </w:rPr>
        <w:t>基金份额发售面值</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认购金额、份额计算结果保留到小数点后</w:t>
      </w:r>
      <w:r>
        <w:rPr>
          <w:rFonts w:ascii="宋体" w:hAnsi="宋体" w:cs="宋体-WinCharSetFFFF-H" w:hint="eastAsia"/>
        </w:rPr>
        <w:t>2</w:t>
      </w:r>
      <w:r>
        <w:rPr>
          <w:rFonts w:ascii="宋体" w:hAnsi="宋体" w:cs="宋体-WinCharSetFFFF-H" w:hint="eastAsia"/>
        </w:rPr>
        <w:t>位，小数点</w:t>
      </w:r>
      <w:r>
        <w:rPr>
          <w:rFonts w:ascii="宋体" w:hAnsi="宋体" w:cs="宋体-WinCharSetFFFF-H" w:hint="eastAsia"/>
        </w:rPr>
        <w:t>2</w:t>
      </w:r>
      <w:r>
        <w:rPr>
          <w:rFonts w:ascii="宋体" w:hAnsi="宋体" w:cs="宋体-WinCharSetFFFF-H" w:hint="eastAsia"/>
        </w:rPr>
        <w:t>位以后的部分四舍五入，由此误差产生的收益或损失由基金财产承担。</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例</w:t>
      </w:r>
      <w:r>
        <w:rPr>
          <w:rFonts w:ascii="宋体" w:hAnsi="宋体" w:cs="宋体-WinCharSetFFFF-H" w:hint="eastAsia"/>
        </w:rPr>
        <w:t>1</w:t>
      </w:r>
      <w:r>
        <w:rPr>
          <w:rFonts w:ascii="宋体" w:hAnsi="宋体" w:cs="宋体-WinCharSetFFFF-H" w:hint="eastAsia"/>
        </w:rPr>
        <w:t>：某投资者投资</w:t>
      </w:r>
      <w:r>
        <w:rPr>
          <w:rFonts w:ascii="宋体" w:hAnsi="宋体" w:cs="宋体-WinCharSetFFFF-H" w:hint="eastAsia"/>
        </w:rPr>
        <w:t>10</w:t>
      </w:r>
      <w:r>
        <w:rPr>
          <w:rFonts w:ascii="宋体" w:hAnsi="宋体" w:cs="宋体-WinCharSetFFFF-H" w:hint="eastAsia"/>
        </w:rPr>
        <w:t>万元认购本基金</w:t>
      </w:r>
      <w:r>
        <w:rPr>
          <w:rFonts w:ascii="宋体" w:hAnsi="宋体" w:cs="宋体-WinCharSetFFFF-H" w:hint="eastAsia"/>
        </w:rPr>
        <w:t>A</w:t>
      </w:r>
      <w:r>
        <w:rPr>
          <w:rFonts w:ascii="宋体" w:hAnsi="宋体" w:cs="宋体-WinCharSetFFFF-H" w:hint="eastAsia"/>
        </w:rPr>
        <w:t>类基金份额，假定该笔认购产生利息</w:t>
      </w:r>
      <w:r>
        <w:rPr>
          <w:rFonts w:ascii="宋体" w:hAnsi="宋体" w:cs="宋体-WinCharSetFFFF-H" w:hint="eastAsia"/>
        </w:rPr>
        <w:t>50.00</w:t>
      </w:r>
      <w:r>
        <w:rPr>
          <w:rFonts w:ascii="宋体" w:hAnsi="宋体" w:cs="宋体-WinCharSetFFFF-H" w:hint="eastAsia"/>
        </w:rPr>
        <w:t>元，对应认购费率为</w:t>
      </w:r>
      <w:r>
        <w:rPr>
          <w:rFonts w:ascii="宋体" w:hAnsi="宋体" w:cs="宋体-WinCharSetFFFF-H" w:hint="eastAsia"/>
        </w:rPr>
        <w:t>1.20%</w:t>
      </w:r>
      <w:r>
        <w:rPr>
          <w:rFonts w:ascii="宋体" w:hAnsi="宋体" w:cs="宋体-WinCharSetFFFF-H" w:hint="eastAsia"/>
        </w:rPr>
        <w:t>，且该笔认购最后按照</w:t>
      </w:r>
      <w:r>
        <w:rPr>
          <w:rFonts w:ascii="宋体" w:hAnsi="宋体" w:cs="宋体-WinCharSetFFFF-H" w:hint="eastAsia"/>
        </w:rPr>
        <w:t>100%</w:t>
      </w:r>
      <w:r>
        <w:rPr>
          <w:rFonts w:ascii="宋体" w:hAnsi="宋体" w:cs="宋体-WinCharSetFFFF-H" w:hint="eastAsia"/>
        </w:rPr>
        <w:t>比例全部予以确认，则其可得到的</w:t>
      </w:r>
      <w:r>
        <w:rPr>
          <w:rFonts w:ascii="宋体" w:hAnsi="宋体" w:cs="宋体-WinCharSetFFFF-H" w:hint="eastAsia"/>
        </w:rPr>
        <w:t>A</w:t>
      </w:r>
      <w:r>
        <w:rPr>
          <w:rFonts w:ascii="宋体" w:hAnsi="宋体" w:cs="宋体-WinCharSetFFFF-H" w:hint="eastAsia"/>
        </w:rPr>
        <w:t>类基金份额为：</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净认购金额＝</w:t>
      </w:r>
      <w:r>
        <w:rPr>
          <w:rFonts w:ascii="宋体" w:hAnsi="宋体" w:cs="宋体-WinCharSetFFFF-H" w:hint="eastAsia"/>
        </w:rPr>
        <w:t>100,000/ (1+1.20%)</w:t>
      </w:r>
      <w:r>
        <w:rPr>
          <w:rFonts w:ascii="宋体" w:hAnsi="宋体" w:cs="宋体-WinCharSetFFFF-H" w:hint="eastAsia"/>
        </w:rPr>
        <w:t>＝</w:t>
      </w:r>
      <w:r>
        <w:rPr>
          <w:rFonts w:ascii="宋体" w:hAnsi="宋体" w:cs="宋体-WinCharSetFFFF-H" w:hint="eastAsia"/>
        </w:rPr>
        <w:t>98,814.23</w:t>
      </w:r>
      <w:r>
        <w:rPr>
          <w:rFonts w:ascii="宋体" w:hAnsi="宋体" w:cs="宋体-WinCharSetFFFF-H" w:hint="eastAsia"/>
        </w:rPr>
        <w:t>元</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认购费</w:t>
      </w:r>
      <w:r>
        <w:rPr>
          <w:rFonts w:ascii="宋体" w:hAnsi="宋体" w:cs="宋体-WinCharSetFFFF-H" w:hint="eastAsia"/>
        </w:rPr>
        <w:t>用＝</w:t>
      </w:r>
      <w:r>
        <w:rPr>
          <w:rFonts w:ascii="宋体" w:hAnsi="宋体" w:cs="宋体-WinCharSetFFFF-H" w:hint="eastAsia"/>
        </w:rPr>
        <w:t>100,000</w:t>
      </w:r>
      <w:r>
        <w:rPr>
          <w:rFonts w:ascii="宋体" w:hAnsi="宋体" w:cs="宋体-WinCharSetFFFF-H" w:hint="eastAsia"/>
        </w:rPr>
        <w:t>－</w:t>
      </w:r>
      <w:r>
        <w:rPr>
          <w:rFonts w:ascii="宋体" w:hAnsi="宋体" w:cs="宋体-WinCharSetFFFF-H" w:hint="eastAsia"/>
        </w:rPr>
        <w:t>98,814.23</w:t>
      </w:r>
      <w:r>
        <w:rPr>
          <w:rFonts w:ascii="宋体" w:hAnsi="宋体" w:cs="宋体-WinCharSetFFFF-H" w:hint="eastAsia"/>
        </w:rPr>
        <w:t>＝</w:t>
      </w:r>
      <w:r>
        <w:rPr>
          <w:rFonts w:ascii="宋体" w:hAnsi="宋体" w:cs="宋体-WinCharSetFFFF-H" w:hint="eastAsia"/>
        </w:rPr>
        <w:t>1,185.77</w:t>
      </w:r>
      <w:r>
        <w:rPr>
          <w:rFonts w:ascii="宋体" w:hAnsi="宋体" w:cs="宋体-WinCharSetFFFF-H" w:hint="eastAsia"/>
        </w:rPr>
        <w:t>元</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认购份额</w:t>
      </w:r>
      <w:r>
        <w:rPr>
          <w:rFonts w:ascii="宋体" w:hAnsi="宋体" w:cs="宋体-WinCharSetFFFF-H" w:hint="eastAsia"/>
        </w:rPr>
        <w:t xml:space="preserve"> =</w:t>
      </w:r>
      <w:r>
        <w:rPr>
          <w:rFonts w:ascii="宋体" w:hAnsi="宋体" w:cs="宋体-WinCharSetFFFF-H" w:hint="eastAsia"/>
        </w:rPr>
        <w:t>（</w:t>
      </w:r>
      <w:r>
        <w:rPr>
          <w:rFonts w:ascii="宋体" w:hAnsi="宋体" w:cs="宋体-WinCharSetFFFF-H" w:hint="eastAsia"/>
        </w:rPr>
        <w:t>98,814.23+50.00</w:t>
      </w:r>
      <w:r>
        <w:rPr>
          <w:rFonts w:ascii="宋体" w:hAnsi="宋体" w:cs="宋体-WinCharSetFFFF-H" w:hint="eastAsia"/>
        </w:rPr>
        <w:t>）</w:t>
      </w:r>
      <w:r>
        <w:rPr>
          <w:rFonts w:ascii="宋体" w:hAnsi="宋体" w:cs="宋体-WinCharSetFFFF-H" w:hint="eastAsia"/>
        </w:rPr>
        <w:t>/1.00 =98,864.23</w:t>
      </w:r>
      <w:r>
        <w:rPr>
          <w:rFonts w:ascii="宋体" w:hAnsi="宋体" w:cs="宋体-WinCharSetFFFF-H" w:hint="eastAsia"/>
        </w:rPr>
        <w:t>份</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即：投资者投资</w:t>
      </w:r>
      <w:r>
        <w:rPr>
          <w:rFonts w:ascii="宋体" w:hAnsi="宋体" w:cs="宋体-WinCharSetFFFF-H" w:hint="eastAsia"/>
        </w:rPr>
        <w:t>10</w:t>
      </w:r>
      <w:r>
        <w:rPr>
          <w:rFonts w:ascii="宋体" w:hAnsi="宋体" w:cs="宋体-WinCharSetFFFF-H" w:hint="eastAsia"/>
        </w:rPr>
        <w:t>万元认购本基金</w:t>
      </w:r>
      <w:r>
        <w:rPr>
          <w:rFonts w:ascii="宋体" w:hAnsi="宋体" w:cs="宋体-WinCharSetFFFF-H" w:hint="eastAsia"/>
        </w:rPr>
        <w:t>A</w:t>
      </w:r>
      <w:r>
        <w:rPr>
          <w:rFonts w:ascii="宋体" w:hAnsi="宋体" w:cs="宋体-WinCharSetFFFF-H" w:hint="eastAsia"/>
        </w:rPr>
        <w:t>类基金份额，假定该笔认购产生利息</w:t>
      </w:r>
      <w:r>
        <w:rPr>
          <w:rFonts w:ascii="宋体" w:hAnsi="宋体" w:cs="宋体-WinCharSetFFFF-H" w:hint="eastAsia"/>
        </w:rPr>
        <w:t>50.00</w:t>
      </w:r>
      <w:r>
        <w:rPr>
          <w:rFonts w:ascii="宋体" w:hAnsi="宋体" w:cs="宋体-WinCharSetFFFF-H" w:hint="eastAsia"/>
        </w:rPr>
        <w:t>元，对应认购费率为</w:t>
      </w:r>
      <w:r>
        <w:rPr>
          <w:rFonts w:ascii="宋体" w:hAnsi="宋体" w:cs="宋体-WinCharSetFFFF-H" w:hint="eastAsia"/>
        </w:rPr>
        <w:t>1.20%</w:t>
      </w:r>
      <w:r>
        <w:rPr>
          <w:rFonts w:ascii="宋体" w:hAnsi="宋体" w:cs="宋体-WinCharSetFFFF-H" w:hint="eastAsia"/>
        </w:rPr>
        <w:t>，且该笔认购最后按照</w:t>
      </w:r>
      <w:r>
        <w:rPr>
          <w:rFonts w:ascii="宋体" w:hAnsi="宋体" w:cs="宋体-WinCharSetFFFF-H" w:hint="eastAsia"/>
        </w:rPr>
        <w:t>100%</w:t>
      </w:r>
      <w:r>
        <w:rPr>
          <w:rFonts w:ascii="宋体" w:hAnsi="宋体" w:cs="宋体-WinCharSetFFFF-H" w:hint="eastAsia"/>
        </w:rPr>
        <w:t>比例全部予以确认，则其可得到</w:t>
      </w:r>
      <w:r>
        <w:rPr>
          <w:rFonts w:ascii="宋体" w:hAnsi="宋体" w:cs="宋体-WinCharSetFFFF-H" w:hint="eastAsia"/>
        </w:rPr>
        <w:t>98,864.23</w:t>
      </w:r>
      <w:r>
        <w:rPr>
          <w:rFonts w:ascii="宋体" w:hAnsi="宋体" w:cs="宋体-WinCharSetFFFF-H" w:hint="eastAsia"/>
        </w:rPr>
        <w:t>份</w:t>
      </w:r>
      <w:r>
        <w:rPr>
          <w:rFonts w:ascii="宋体" w:hAnsi="宋体" w:cs="宋体-WinCharSetFFFF-H" w:hint="eastAsia"/>
        </w:rPr>
        <w:t>A</w:t>
      </w:r>
      <w:r>
        <w:rPr>
          <w:rFonts w:ascii="宋体" w:hAnsi="宋体" w:cs="宋体-WinCharSetFFFF-H" w:hint="eastAsia"/>
        </w:rPr>
        <w:t>类基金份额。</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w:t>
      </w:r>
      <w:r>
        <w:rPr>
          <w:rFonts w:ascii="宋体" w:hAnsi="宋体" w:cs="宋体-WinCharSetFFFF-H" w:hint="eastAsia"/>
        </w:rPr>
        <w:t>2</w:t>
      </w:r>
      <w:r>
        <w:rPr>
          <w:rFonts w:ascii="宋体" w:hAnsi="宋体" w:cs="宋体-WinCharSetFFFF-H" w:hint="eastAsia"/>
        </w:rPr>
        <w:t>）</w:t>
      </w:r>
      <w:r>
        <w:rPr>
          <w:rFonts w:ascii="宋体" w:hAnsi="宋体" w:cs="宋体-WinCharSetFFFF-H" w:hint="eastAsia"/>
        </w:rPr>
        <w:t>C</w:t>
      </w:r>
      <w:r>
        <w:rPr>
          <w:rFonts w:ascii="宋体" w:hAnsi="宋体" w:cs="宋体-WinCharSetFFFF-H" w:hint="eastAsia"/>
        </w:rPr>
        <w:t>类基金份额的认购</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认购份额＝（认购金额＋认购利息）</w:t>
      </w:r>
      <w:r>
        <w:rPr>
          <w:rFonts w:ascii="宋体" w:hAnsi="宋体" w:cs="宋体-WinCharSetFFFF-H" w:hint="eastAsia"/>
        </w:rPr>
        <w:t>/</w:t>
      </w:r>
      <w:r>
        <w:rPr>
          <w:rFonts w:ascii="宋体" w:hAnsi="宋体" w:cs="宋体-WinCharSetFFFF-H" w:hint="eastAsia"/>
        </w:rPr>
        <w:t>基金份额发售面值</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份额计算结果保留到小数点后</w:t>
      </w:r>
      <w:r>
        <w:rPr>
          <w:rFonts w:ascii="宋体" w:hAnsi="宋体" w:cs="宋体-WinCharSetFFFF-H" w:hint="eastAsia"/>
        </w:rPr>
        <w:t>2</w:t>
      </w:r>
      <w:r>
        <w:rPr>
          <w:rFonts w:ascii="宋体" w:hAnsi="宋体" w:cs="宋体-WinCharSetFFFF-H" w:hint="eastAsia"/>
        </w:rPr>
        <w:t>位，小数点</w:t>
      </w:r>
      <w:r>
        <w:rPr>
          <w:rFonts w:ascii="宋体" w:hAnsi="宋体" w:cs="宋体-WinCharSetFFFF-H" w:hint="eastAsia"/>
        </w:rPr>
        <w:t>2</w:t>
      </w:r>
      <w:r>
        <w:rPr>
          <w:rFonts w:ascii="宋体" w:hAnsi="宋体" w:cs="宋体-WinCharSetFFFF-H" w:hint="eastAsia"/>
        </w:rPr>
        <w:t>位以后的部分四舍五入，由此误差产生的收益或损失由基金财产</w:t>
      </w:r>
      <w:r>
        <w:rPr>
          <w:rFonts w:ascii="宋体" w:hAnsi="宋体" w:cs="宋体-WinCharSetFFFF-H" w:hint="eastAsia"/>
        </w:rPr>
        <w:t>承担。</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例</w:t>
      </w:r>
      <w:r>
        <w:rPr>
          <w:rFonts w:ascii="宋体" w:hAnsi="宋体" w:cs="宋体-WinCharSetFFFF-H" w:hint="eastAsia"/>
        </w:rPr>
        <w:t>2</w:t>
      </w:r>
      <w:r>
        <w:rPr>
          <w:rFonts w:ascii="宋体" w:hAnsi="宋体" w:cs="宋体-WinCharSetFFFF-H" w:hint="eastAsia"/>
        </w:rPr>
        <w:t>：某投资者投资</w:t>
      </w:r>
      <w:r>
        <w:rPr>
          <w:rFonts w:ascii="宋体" w:hAnsi="宋体" w:cs="宋体-WinCharSetFFFF-H" w:hint="eastAsia"/>
        </w:rPr>
        <w:t>10</w:t>
      </w:r>
      <w:r>
        <w:rPr>
          <w:rFonts w:ascii="宋体" w:hAnsi="宋体" w:cs="宋体-WinCharSetFFFF-H" w:hint="eastAsia"/>
        </w:rPr>
        <w:t>万元认购本基金</w:t>
      </w:r>
      <w:r>
        <w:rPr>
          <w:rFonts w:ascii="宋体" w:hAnsi="宋体" w:cs="宋体-WinCharSetFFFF-H" w:hint="eastAsia"/>
        </w:rPr>
        <w:t>C</w:t>
      </w:r>
      <w:r>
        <w:rPr>
          <w:rFonts w:ascii="宋体" w:hAnsi="宋体" w:cs="宋体-WinCharSetFFFF-H" w:hint="eastAsia"/>
        </w:rPr>
        <w:t>类基金份额，假定该笔认购产生利息</w:t>
      </w:r>
      <w:r>
        <w:rPr>
          <w:rFonts w:ascii="宋体" w:hAnsi="宋体" w:cs="宋体-WinCharSetFFFF-H" w:hint="eastAsia"/>
        </w:rPr>
        <w:t>50.00</w:t>
      </w:r>
      <w:r>
        <w:rPr>
          <w:rFonts w:ascii="宋体" w:hAnsi="宋体" w:cs="宋体-WinCharSetFFFF-H" w:hint="eastAsia"/>
        </w:rPr>
        <w:t>元，且该笔认购最后按照</w:t>
      </w:r>
      <w:r>
        <w:rPr>
          <w:rFonts w:ascii="宋体" w:hAnsi="宋体" w:cs="宋体-WinCharSetFFFF-H" w:hint="eastAsia"/>
        </w:rPr>
        <w:t>100%</w:t>
      </w:r>
      <w:r>
        <w:rPr>
          <w:rFonts w:ascii="宋体" w:hAnsi="宋体" w:cs="宋体-WinCharSetFFFF-H" w:hint="eastAsia"/>
        </w:rPr>
        <w:t>比例全部予以确认，则其可得到的</w:t>
      </w:r>
      <w:r>
        <w:rPr>
          <w:rFonts w:ascii="宋体" w:hAnsi="宋体" w:cs="宋体-WinCharSetFFFF-H" w:hint="eastAsia"/>
        </w:rPr>
        <w:t>C</w:t>
      </w:r>
      <w:r>
        <w:rPr>
          <w:rFonts w:ascii="宋体" w:hAnsi="宋体" w:cs="宋体-WinCharSetFFFF-H" w:hint="eastAsia"/>
        </w:rPr>
        <w:t>类基金份额为：</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认购份额</w:t>
      </w:r>
      <w:r>
        <w:rPr>
          <w:rFonts w:ascii="宋体" w:hAnsi="宋体" w:cs="宋体-WinCharSetFFFF-H" w:hint="eastAsia"/>
        </w:rPr>
        <w:t>=</w:t>
      </w:r>
      <w:r>
        <w:rPr>
          <w:rFonts w:ascii="宋体" w:hAnsi="宋体" w:cs="宋体-WinCharSetFFFF-H" w:hint="eastAsia"/>
        </w:rPr>
        <w:t>（</w:t>
      </w:r>
      <w:r>
        <w:rPr>
          <w:rFonts w:ascii="宋体" w:hAnsi="宋体" w:cs="宋体-WinCharSetFFFF-H" w:hint="eastAsia"/>
        </w:rPr>
        <w:t>100,000.00+50.00</w:t>
      </w:r>
      <w:r>
        <w:rPr>
          <w:rFonts w:ascii="宋体" w:hAnsi="宋体" w:cs="宋体-WinCharSetFFFF-H" w:hint="eastAsia"/>
        </w:rPr>
        <w:t>）</w:t>
      </w:r>
      <w:r>
        <w:rPr>
          <w:rFonts w:ascii="宋体" w:hAnsi="宋体" w:cs="宋体-WinCharSetFFFF-H" w:hint="eastAsia"/>
        </w:rPr>
        <w:t>/1.00=100,050.00</w:t>
      </w:r>
      <w:r>
        <w:rPr>
          <w:rFonts w:ascii="宋体" w:hAnsi="宋体" w:cs="宋体-WinCharSetFFFF-H" w:hint="eastAsia"/>
        </w:rPr>
        <w:t>份</w:t>
      </w:r>
    </w:p>
    <w:p w:rsidR="00B663DD" w:rsidRDefault="00227883">
      <w:pPr>
        <w:spacing w:line="360" w:lineRule="auto"/>
        <w:ind w:firstLineChars="200" w:firstLine="480"/>
        <w:rPr>
          <w:rFonts w:ascii="宋体" w:hAnsi="宋体"/>
        </w:rPr>
      </w:pPr>
      <w:r>
        <w:rPr>
          <w:rFonts w:ascii="宋体" w:hAnsi="宋体" w:cs="宋体-WinCharSetFFFF-H" w:hint="eastAsia"/>
        </w:rPr>
        <w:t>即：投资者投资</w:t>
      </w:r>
      <w:r>
        <w:rPr>
          <w:rFonts w:ascii="宋体" w:hAnsi="宋体" w:cs="宋体-WinCharSetFFFF-H" w:hint="eastAsia"/>
        </w:rPr>
        <w:t>10</w:t>
      </w:r>
      <w:r>
        <w:rPr>
          <w:rFonts w:ascii="宋体" w:hAnsi="宋体" w:cs="宋体-WinCharSetFFFF-H" w:hint="eastAsia"/>
        </w:rPr>
        <w:t>万元认购本基金</w:t>
      </w:r>
      <w:r>
        <w:rPr>
          <w:rFonts w:ascii="宋体" w:hAnsi="宋体" w:cs="宋体-WinCharSetFFFF-H" w:hint="eastAsia"/>
        </w:rPr>
        <w:t>C</w:t>
      </w:r>
      <w:r>
        <w:rPr>
          <w:rFonts w:ascii="宋体" w:hAnsi="宋体" w:cs="宋体-WinCharSetFFFF-H" w:hint="eastAsia"/>
        </w:rPr>
        <w:t>类基金份额，假定该笔认购产生利息</w:t>
      </w:r>
      <w:r>
        <w:rPr>
          <w:rFonts w:ascii="宋体" w:hAnsi="宋体" w:cs="宋体-WinCharSetFFFF-H" w:hint="eastAsia"/>
        </w:rPr>
        <w:t>50.00</w:t>
      </w:r>
      <w:r>
        <w:rPr>
          <w:rFonts w:ascii="宋体" w:hAnsi="宋体" w:cs="宋体-WinCharSetFFFF-H" w:hint="eastAsia"/>
        </w:rPr>
        <w:t>元，且该笔认购最后按照</w:t>
      </w:r>
      <w:r>
        <w:rPr>
          <w:rFonts w:ascii="宋体" w:hAnsi="宋体" w:cs="宋体-WinCharSetFFFF-H" w:hint="eastAsia"/>
        </w:rPr>
        <w:t>100%</w:t>
      </w:r>
      <w:r>
        <w:rPr>
          <w:rFonts w:ascii="宋体" w:hAnsi="宋体" w:cs="宋体-WinCharSetFFFF-H" w:hint="eastAsia"/>
        </w:rPr>
        <w:t>比例全部予以确认，则其可得到</w:t>
      </w:r>
      <w:r>
        <w:rPr>
          <w:rFonts w:ascii="宋体" w:hAnsi="宋体" w:cs="宋体-WinCharSetFFFF-H" w:hint="eastAsia"/>
        </w:rPr>
        <w:t>100,050.00</w:t>
      </w:r>
      <w:r>
        <w:rPr>
          <w:rFonts w:ascii="宋体" w:hAnsi="宋体" w:cs="宋体-WinCharSetFFFF-H" w:hint="eastAsia"/>
        </w:rPr>
        <w:t>份</w:t>
      </w:r>
      <w:r>
        <w:rPr>
          <w:rFonts w:ascii="宋体" w:hAnsi="宋体" w:cs="宋体-WinCharSetFFFF-H" w:hint="eastAsia"/>
        </w:rPr>
        <w:t>C</w:t>
      </w:r>
      <w:r>
        <w:rPr>
          <w:rFonts w:ascii="宋体" w:hAnsi="宋体" w:cs="宋体-WinCharSetFFFF-H" w:hint="eastAsia"/>
        </w:rPr>
        <w:t>类基金份额。</w:t>
      </w:r>
    </w:p>
    <w:p w:rsidR="00B663DD" w:rsidRDefault="00227883">
      <w:pPr>
        <w:spacing w:line="360" w:lineRule="auto"/>
        <w:ind w:firstLineChars="200" w:firstLine="480"/>
        <w:rPr>
          <w:rFonts w:ascii="宋体" w:hAnsi="宋体"/>
        </w:rPr>
      </w:pPr>
      <w:r>
        <w:rPr>
          <w:rFonts w:ascii="宋体" w:hAnsi="宋体" w:hint="eastAsia"/>
        </w:rPr>
        <w:t>（四）投资者对基金份额的认购</w:t>
      </w:r>
    </w:p>
    <w:p w:rsidR="00B663DD" w:rsidRDefault="00227883">
      <w:pPr>
        <w:spacing w:line="360" w:lineRule="auto"/>
        <w:ind w:firstLineChars="200" w:firstLine="480"/>
        <w:rPr>
          <w:rFonts w:ascii="宋体" w:hAnsi="宋体"/>
        </w:rPr>
      </w:pPr>
      <w:r>
        <w:rPr>
          <w:rFonts w:ascii="宋体" w:hAnsi="宋体" w:hint="eastAsia"/>
        </w:rPr>
        <w:t>1</w:t>
      </w:r>
      <w:r>
        <w:rPr>
          <w:rFonts w:ascii="宋体" w:hAnsi="宋体" w:hint="eastAsia"/>
        </w:rPr>
        <w:t>、认购时间安排</w:t>
      </w:r>
    </w:p>
    <w:p w:rsidR="00B663DD" w:rsidRDefault="00227883">
      <w:pPr>
        <w:autoSpaceDE w:val="0"/>
        <w:autoSpaceDN w:val="0"/>
        <w:adjustRightInd w:val="0"/>
        <w:spacing w:line="360" w:lineRule="auto"/>
        <w:ind w:firstLineChars="200" w:firstLine="480"/>
        <w:rPr>
          <w:rFonts w:ascii="宋体" w:hAnsi="宋体" w:cs="宋体-WinCharSetFFFF-H"/>
        </w:rPr>
      </w:pPr>
      <w:r>
        <w:rPr>
          <w:rFonts w:ascii="宋体" w:hAnsi="宋体" w:cs="宋体-WinCharSetFFFF-H" w:hint="eastAsia"/>
        </w:rPr>
        <w:t>本基金的发售期为</w:t>
      </w:r>
      <w:r>
        <w:rPr>
          <w:rFonts w:ascii="宋体" w:hAnsi="宋体" w:cs="宋体-WinCharSetFFFF-H" w:hint="eastAsia"/>
        </w:rPr>
        <w:t>2024</w:t>
      </w:r>
      <w:r>
        <w:rPr>
          <w:rFonts w:ascii="宋体" w:hAnsi="宋体" w:cs="宋体-WinCharSetFFFF-H" w:hint="eastAsia"/>
        </w:rPr>
        <w:t>年</w:t>
      </w:r>
      <w:r>
        <w:rPr>
          <w:rFonts w:ascii="宋体" w:hAnsi="宋体" w:cs="宋体-WinCharSetFFFF-H" w:hint="eastAsia"/>
        </w:rPr>
        <w:t>5</w:t>
      </w:r>
      <w:r>
        <w:rPr>
          <w:rFonts w:ascii="宋体" w:hAnsi="宋体" w:cs="宋体-WinCharSetFFFF-H" w:hint="eastAsia"/>
        </w:rPr>
        <w:t>月</w:t>
      </w:r>
      <w:r>
        <w:rPr>
          <w:rFonts w:ascii="宋体" w:hAnsi="宋体" w:cs="宋体-WinCharSetFFFF-H" w:hint="eastAsia"/>
        </w:rPr>
        <w:t>13</w:t>
      </w:r>
      <w:r>
        <w:rPr>
          <w:rFonts w:ascii="宋体" w:hAnsi="宋体" w:cs="宋体-WinCharSetFFFF-H" w:hint="eastAsia"/>
        </w:rPr>
        <w:t>日至</w:t>
      </w:r>
      <w:r>
        <w:rPr>
          <w:rFonts w:ascii="宋体" w:hAnsi="宋体" w:cs="宋体-WinCharSetFFFF-H" w:hint="eastAsia"/>
        </w:rPr>
        <w:t>202</w:t>
      </w:r>
      <w:r>
        <w:rPr>
          <w:rFonts w:ascii="宋体" w:hAnsi="宋体" w:cs="宋体-WinCharSetFFFF-H" w:hint="eastAsia"/>
        </w:rPr>
        <w:t>4</w:t>
      </w:r>
      <w:r>
        <w:rPr>
          <w:rFonts w:ascii="宋体" w:hAnsi="宋体" w:cs="宋体-WinCharSetFFFF-H" w:hint="eastAsia"/>
        </w:rPr>
        <w:t>年</w:t>
      </w:r>
      <w:r>
        <w:rPr>
          <w:rFonts w:ascii="宋体" w:hAnsi="宋体" w:cs="宋体-WinCharSetFFFF-H" w:hint="eastAsia"/>
        </w:rPr>
        <w:t>7</w:t>
      </w:r>
      <w:r>
        <w:rPr>
          <w:rFonts w:ascii="宋体" w:hAnsi="宋体" w:cs="宋体-WinCharSetFFFF-H" w:hint="eastAsia"/>
        </w:rPr>
        <w:t>月</w:t>
      </w:r>
      <w:r>
        <w:rPr>
          <w:rFonts w:ascii="宋体" w:hAnsi="宋体" w:cs="宋体-WinCharSetFFFF-H" w:hint="eastAsia"/>
        </w:rPr>
        <w:t>12</w:t>
      </w:r>
      <w:r>
        <w:rPr>
          <w:rFonts w:ascii="宋体" w:hAnsi="宋体" w:cs="宋体-WinCharSetFFFF-H" w:hint="eastAsia"/>
        </w:rPr>
        <w:t>日。</w:t>
      </w:r>
    </w:p>
    <w:p w:rsidR="00B663DD" w:rsidRDefault="00227883">
      <w:pPr>
        <w:spacing w:line="360" w:lineRule="auto"/>
        <w:ind w:firstLineChars="200" w:firstLine="480"/>
        <w:rPr>
          <w:rFonts w:ascii="宋体" w:hAnsi="宋体"/>
        </w:rPr>
      </w:pPr>
      <w:r>
        <w:rPr>
          <w:rFonts w:ascii="宋体" w:hAnsi="宋体" w:hint="eastAsia"/>
        </w:rPr>
        <w:t>2</w:t>
      </w:r>
      <w:r>
        <w:rPr>
          <w:rFonts w:ascii="宋体" w:hAnsi="宋体" w:hint="eastAsia"/>
        </w:rPr>
        <w:t>、认购的方式及确认</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投资者在募集期内可多次认购基金份额，认购申请一经受理，不得撤销。</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投资者在</w:t>
      </w:r>
      <w:r>
        <w:rPr>
          <w:rFonts w:ascii="宋体" w:hAnsi="宋体" w:cs="宋体-WinCharSetFFFF-H" w:hint="eastAsia"/>
        </w:rPr>
        <w:t>T</w:t>
      </w:r>
      <w:r>
        <w:rPr>
          <w:rFonts w:ascii="宋体" w:hAnsi="宋体" w:cs="宋体-WinCharSetFFFF-H" w:hint="eastAsia"/>
        </w:rPr>
        <w:t>日规定时间内提交的认购申请，应于</w:t>
      </w:r>
      <w:r>
        <w:rPr>
          <w:rFonts w:ascii="宋体" w:hAnsi="宋体" w:cs="宋体-WinCharSetFFFF-H" w:hint="eastAsia"/>
        </w:rPr>
        <w:t>T+2</w:t>
      </w:r>
      <w:r>
        <w:rPr>
          <w:rFonts w:ascii="宋体" w:hAnsi="宋体" w:cs="宋体-WinCharSetFFFF-H" w:hint="eastAsia"/>
        </w:rPr>
        <w:t>日后（含该日）通过基金管理人直销系统、基金管理人的客户服务中心或其他销售机构查询认购申请是否被成功受理。</w:t>
      </w:r>
    </w:p>
    <w:p w:rsidR="00B663DD" w:rsidRDefault="00227883">
      <w:pPr>
        <w:spacing w:line="360" w:lineRule="auto"/>
        <w:ind w:firstLineChars="200" w:firstLine="480"/>
        <w:rPr>
          <w:rFonts w:ascii="宋体" w:hAnsi="宋体" w:cs="宋体-WinCharSetFFFF-H"/>
        </w:rPr>
      </w:pPr>
      <w:r>
        <w:rPr>
          <w:rFonts w:ascii="宋体" w:hAnsi="宋体" w:cs="宋体-WinCharSetFFFF-H" w:hint="eastAsia"/>
        </w:rPr>
        <w:t>投资者应于基金合同生效后通过基金管理人直销系统、基金管理人的客户服务中心或其他销售机构查询认购确认份额。</w:t>
      </w:r>
    </w:p>
    <w:p w:rsidR="00B663DD" w:rsidRDefault="00227883">
      <w:pPr>
        <w:spacing w:line="360" w:lineRule="auto"/>
        <w:ind w:firstLineChars="200" w:firstLine="480"/>
        <w:rPr>
          <w:rFonts w:ascii="宋体" w:hAnsi="宋体"/>
        </w:rPr>
      </w:pPr>
      <w:r>
        <w:rPr>
          <w:rFonts w:ascii="宋体" w:hAnsi="宋体" w:hint="eastAsia"/>
        </w:rPr>
        <w:t>3</w:t>
      </w:r>
      <w:r>
        <w:rPr>
          <w:rFonts w:ascii="宋体" w:hAnsi="宋体" w:hint="eastAsia"/>
        </w:rPr>
        <w:t>、认购的限额</w:t>
      </w:r>
    </w:p>
    <w:p w:rsidR="00B663DD" w:rsidRDefault="00227883">
      <w:pPr>
        <w:spacing w:line="360" w:lineRule="auto"/>
        <w:ind w:firstLineChars="200" w:firstLine="480"/>
        <w:jc w:val="both"/>
        <w:rPr>
          <w:color w:val="000000"/>
        </w:rPr>
      </w:pPr>
      <w:r>
        <w:rPr>
          <w:rFonts w:hint="eastAsia"/>
          <w:color w:val="000000"/>
        </w:rPr>
        <w:t>（</w:t>
      </w:r>
      <w:r>
        <w:rPr>
          <w:rFonts w:hint="eastAsia"/>
          <w:color w:val="000000"/>
        </w:rPr>
        <w:t>1</w:t>
      </w:r>
      <w:r>
        <w:rPr>
          <w:rFonts w:hint="eastAsia"/>
          <w:color w:val="000000"/>
        </w:rPr>
        <w:t>）在募集期内，投资者可多次认购基金份额。基金管理人直销中心（含网上直销系统）及其他销售机构的首次单笔最低认购金额为人民币</w:t>
      </w:r>
      <w:r>
        <w:rPr>
          <w:rFonts w:hint="eastAsia"/>
          <w:color w:val="000000"/>
        </w:rPr>
        <w:t>0.01</w:t>
      </w:r>
      <w:r>
        <w:rPr>
          <w:rFonts w:hint="eastAsia"/>
          <w:color w:val="000000"/>
        </w:rPr>
        <w:t>元（含认购费，下同），追加认购的单笔最低认购金额为人民币</w:t>
      </w:r>
      <w:r>
        <w:rPr>
          <w:rFonts w:hint="eastAsia"/>
          <w:color w:val="000000"/>
        </w:rPr>
        <w:t>0.01</w:t>
      </w:r>
      <w:r>
        <w:rPr>
          <w:rFonts w:hint="eastAsia"/>
          <w:color w:val="000000"/>
        </w:rPr>
        <w:t>元。各销售机构对本基金最低认购金额及交易级差有其他规定的，以各销售机构的业务规定为准。但最低认购金额仍不得低于人民币</w:t>
      </w:r>
      <w:r>
        <w:rPr>
          <w:rFonts w:hint="eastAsia"/>
          <w:color w:val="000000"/>
        </w:rPr>
        <w:t>0.01</w:t>
      </w:r>
      <w:r>
        <w:rPr>
          <w:rFonts w:hint="eastAsia"/>
          <w:color w:val="000000"/>
        </w:rPr>
        <w:t>元。</w:t>
      </w:r>
    </w:p>
    <w:p w:rsidR="00B663DD" w:rsidRDefault="00227883">
      <w:pPr>
        <w:spacing w:line="360" w:lineRule="auto"/>
        <w:ind w:firstLineChars="200" w:firstLine="480"/>
        <w:jc w:val="both"/>
        <w:rPr>
          <w:color w:val="000000"/>
        </w:rPr>
      </w:pPr>
      <w:r>
        <w:rPr>
          <w:rFonts w:hint="eastAsia"/>
          <w:color w:val="000000"/>
        </w:rPr>
        <w:t>（</w:t>
      </w:r>
      <w:r>
        <w:rPr>
          <w:rFonts w:hint="eastAsia"/>
          <w:color w:val="000000"/>
        </w:rPr>
        <w:t>2</w:t>
      </w:r>
      <w:r>
        <w:rPr>
          <w:rFonts w:hint="eastAsia"/>
          <w:color w:val="000000"/>
        </w:rPr>
        <w:t>）募集期间不设置投资者单个账户持有基金份额的比例和最高认购金额限制，但招募说明书另有规定的除外。各销售机构对本基金最低认购金额及交易级差有其他规定的，以各销售机构的业务规定为准。</w:t>
      </w:r>
    </w:p>
    <w:p w:rsidR="00B663DD" w:rsidRDefault="00227883">
      <w:pPr>
        <w:spacing w:line="360" w:lineRule="auto"/>
        <w:ind w:firstLineChars="200" w:firstLine="480"/>
        <w:jc w:val="both"/>
        <w:rPr>
          <w:color w:val="000000"/>
        </w:rPr>
      </w:pPr>
      <w:r>
        <w:rPr>
          <w:rFonts w:hint="eastAsia"/>
          <w:color w:val="000000"/>
        </w:rPr>
        <w:t>（</w:t>
      </w:r>
      <w:r>
        <w:rPr>
          <w:rFonts w:hint="eastAsia"/>
          <w:color w:val="000000"/>
        </w:rPr>
        <w:t>3</w:t>
      </w:r>
      <w:r>
        <w:rPr>
          <w:rFonts w:hint="eastAsia"/>
          <w:color w:val="000000"/>
        </w:rPr>
        <w:t>）如本基金单个投资人（基金管理人、基金管理人高级管理人员或基金经理等人员作为发起资金提供方除外）累计认购的基金份额数达到或者超过基金总份额的</w:t>
      </w:r>
      <w:r>
        <w:rPr>
          <w:rFonts w:hint="eastAsia"/>
          <w:color w:val="000000"/>
        </w:rPr>
        <w:t>50%</w:t>
      </w:r>
      <w:r>
        <w:rPr>
          <w:rFonts w:hint="eastAsia"/>
          <w:color w:val="000000"/>
        </w:rPr>
        <w:t>，基金管理人可以采取比例确认等方式对该投资人的认购申请进行限制。基金管理人接受某笔或者某些认购申请有可能导致投资者变相规避前述</w:t>
      </w:r>
      <w:r>
        <w:rPr>
          <w:rFonts w:hint="eastAsia"/>
          <w:color w:val="000000"/>
        </w:rPr>
        <w:t>50%</w:t>
      </w:r>
      <w:r>
        <w:rPr>
          <w:rFonts w:hint="eastAsia"/>
          <w:color w:val="000000"/>
        </w:rPr>
        <w:t>比例要求的，基金管理人有权拒绝该等全部或者部分认购申请。投资人认购的基金份额数以基金合同生效后登记机构的确认为准。</w:t>
      </w:r>
    </w:p>
    <w:p w:rsidR="00B663DD" w:rsidRDefault="00227883">
      <w:pPr>
        <w:spacing w:line="360" w:lineRule="auto"/>
        <w:ind w:firstLineChars="200" w:firstLine="480"/>
        <w:rPr>
          <w:rFonts w:ascii="宋体" w:hAnsi="宋体"/>
        </w:rPr>
      </w:pPr>
      <w:r>
        <w:rPr>
          <w:rFonts w:ascii="宋体" w:hAnsi="宋体" w:hint="eastAsia"/>
          <w:bCs/>
          <w:szCs w:val="21"/>
        </w:rPr>
        <w:t>（五）</w:t>
      </w:r>
      <w:r>
        <w:rPr>
          <w:rFonts w:ascii="宋体" w:hAnsi="宋体" w:hint="eastAsia"/>
        </w:rPr>
        <w:t>发售</w:t>
      </w:r>
      <w:r>
        <w:rPr>
          <w:rFonts w:ascii="宋体" w:hAnsi="宋体"/>
        </w:rPr>
        <w:t>机构</w:t>
      </w:r>
    </w:p>
    <w:p w:rsidR="00B663DD" w:rsidRDefault="00227883">
      <w:pPr>
        <w:spacing w:line="360" w:lineRule="auto"/>
        <w:ind w:firstLineChars="200" w:firstLine="480"/>
        <w:rPr>
          <w:rFonts w:ascii="宋体" w:hAnsi="宋体"/>
        </w:rPr>
      </w:pPr>
      <w:r>
        <w:rPr>
          <w:rFonts w:ascii="宋体" w:hAnsi="宋体" w:hint="eastAsia"/>
        </w:rPr>
        <w:t>1</w:t>
      </w:r>
      <w:r>
        <w:rPr>
          <w:rFonts w:ascii="宋体" w:hAnsi="宋体" w:hint="eastAsia"/>
        </w:rPr>
        <w:t>、投资者可在本基金发售期登录基金管理人网站查询销售机构信息。</w:t>
      </w:r>
    </w:p>
    <w:p w:rsidR="00B663DD" w:rsidRDefault="00227883">
      <w:pPr>
        <w:spacing w:line="360" w:lineRule="auto"/>
        <w:ind w:firstLineChars="200" w:firstLine="480"/>
        <w:rPr>
          <w:rFonts w:ascii="宋体" w:hAnsi="宋体"/>
          <w:color w:val="000000"/>
        </w:rPr>
      </w:pPr>
      <w:r>
        <w:rPr>
          <w:rFonts w:ascii="宋体" w:hAnsi="宋体" w:hint="eastAsia"/>
        </w:rPr>
        <w:t>2</w:t>
      </w:r>
      <w:r>
        <w:rPr>
          <w:rFonts w:ascii="宋体" w:hAnsi="宋体" w:hint="eastAsia"/>
        </w:rPr>
        <w:t>、如在募集期间新增其他销售机构，本</w:t>
      </w:r>
      <w:r>
        <w:rPr>
          <w:rFonts w:ascii="宋体" w:hAnsi="宋体" w:hint="eastAsia"/>
        </w:rPr>
        <w:t>公司将另行公告或在基金管理人网站予以公示。</w:t>
      </w:r>
    </w:p>
    <w:p w:rsidR="00B663DD" w:rsidRDefault="00227883">
      <w:pPr>
        <w:pStyle w:val="1"/>
        <w:spacing w:before="0" w:after="0" w:line="360" w:lineRule="auto"/>
        <w:ind w:firstLineChars="235" w:firstLine="566"/>
        <w:jc w:val="both"/>
        <w:rPr>
          <w:rFonts w:ascii="宋体" w:hAnsi="宋体"/>
          <w:bCs w:val="0"/>
          <w:kern w:val="0"/>
          <w:sz w:val="24"/>
          <w:szCs w:val="24"/>
        </w:rPr>
      </w:pPr>
      <w:r>
        <w:rPr>
          <w:rFonts w:ascii="宋体" w:hAnsi="宋体" w:hint="eastAsia"/>
          <w:bCs w:val="0"/>
          <w:kern w:val="0"/>
          <w:sz w:val="24"/>
          <w:szCs w:val="24"/>
        </w:rPr>
        <w:t>三、本基金的开户与认购程序</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本公司直销中心办理开户与认购的程序</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1</w:t>
      </w:r>
      <w:r>
        <w:rPr>
          <w:rFonts w:ascii="宋体" w:eastAsia="宋体" w:hAnsi="宋体" w:cs="宋体" w:hint="eastAsia"/>
        </w:rPr>
        <w:t>、开户和认购的时间</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基金募集期间的</w:t>
      </w:r>
      <w:r>
        <w:rPr>
          <w:rFonts w:ascii="宋体" w:eastAsia="宋体" w:hAnsi="宋体" w:cs="宋体" w:hint="eastAsia"/>
        </w:rPr>
        <w:t>9:30-17:00</w:t>
      </w:r>
      <w:r>
        <w:rPr>
          <w:rFonts w:ascii="宋体" w:eastAsia="宋体" w:hAnsi="宋体" w:cs="宋体"/>
        </w:rPr>
        <w:t>。</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2</w:t>
      </w:r>
      <w:r>
        <w:rPr>
          <w:rFonts w:ascii="宋体" w:eastAsia="宋体" w:hAnsi="宋体" w:cs="宋体" w:hint="eastAsia"/>
        </w:rPr>
        <w:t>、办理开户（或账户注册）</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）个人投资者办理开户手续需提供的资料：</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1</w:t>
      </w:r>
      <w:r>
        <w:rPr>
          <w:rFonts w:ascii="宋体" w:eastAsia="宋体" w:hAnsi="宋体" w:cs="宋体" w:hint="eastAsia"/>
        </w:rPr>
        <w:t>）提供由本人签字的《个人信息收集和使用告知函》一份；</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2</w:t>
      </w:r>
      <w:r>
        <w:rPr>
          <w:rFonts w:ascii="宋体" w:eastAsia="宋体" w:hAnsi="宋体" w:cs="宋体" w:hint="eastAsia"/>
        </w:rPr>
        <w:t>）提供填妥并由本人签章的《</w:t>
      </w:r>
      <w:r>
        <w:rPr>
          <w:rFonts w:eastAsia="宋体" w:cs="Times New Roman" w:hint="eastAsia"/>
          <w:sz w:val="23"/>
          <w:szCs w:val="23"/>
        </w:rPr>
        <w:t>天弘基金客户业务申请表（个人版）</w:t>
      </w:r>
      <w:r>
        <w:rPr>
          <w:rFonts w:ascii="宋体" w:eastAsia="宋体" w:hAnsi="宋体" w:cs="宋体" w:hint="eastAsia"/>
        </w:rPr>
        <w:t>》一式两份；</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3</w:t>
      </w:r>
      <w:r>
        <w:rPr>
          <w:rFonts w:ascii="宋体" w:eastAsia="宋体" w:hAnsi="宋体" w:cs="宋体" w:hint="eastAsia"/>
        </w:rPr>
        <w:t>）提供由本人签字的《风险承受能力测试问卷》一份；</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4</w:t>
      </w:r>
      <w:r>
        <w:rPr>
          <w:rFonts w:ascii="宋体" w:eastAsia="宋体" w:hAnsi="宋体" w:cs="宋体" w:hint="eastAsia"/>
        </w:rPr>
        <w:t>）提供填妥并由本人签章《税收居民身份声明文件（个人版）》</w:t>
      </w:r>
      <w:r>
        <w:rPr>
          <w:rFonts w:ascii="宋体" w:eastAsia="宋体" w:hAnsi="宋体" w:cs="宋体" w:hint="eastAsia"/>
        </w:rPr>
        <w:t xml:space="preserve"> </w:t>
      </w:r>
      <w:r>
        <w:rPr>
          <w:rFonts w:ascii="宋体" w:eastAsia="宋体" w:hAnsi="宋体" w:cs="宋体" w:hint="eastAsia"/>
        </w:rPr>
        <w:t>（如投资人为“非中国税收居民”或“既是中国税收居民又是其他国家地区税收居民”时，需要填写）；</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5</w:t>
      </w:r>
      <w:r>
        <w:rPr>
          <w:rFonts w:ascii="宋体" w:eastAsia="宋体" w:hAnsi="宋体" w:cs="宋体" w:hint="eastAsia"/>
        </w:rPr>
        <w:t>）提供由本人签章《普通投资者风险告知及确认函》或《专业投资者风险告知及确认函》（请根据投资者分类提供对应风险告知及确认函）；</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6</w:t>
      </w:r>
      <w:r>
        <w:rPr>
          <w:rFonts w:ascii="宋体" w:eastAsia="宋体" w:hAnsi="宋体" w:cs="宋体" w:hint="eastAsia"/>
        </w:rPr>
        <w:t>）出示本人有效身份证明原件（身份证、军官证、士兵证等）并提供能清晰看到证件有效期的证件复印件，并确保该证件的有效性；</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7</w:t>
      </w:r>
      <w:r>
        <w:rPr>
          <w:rFonts w:ascii="宋体" w:eastAsia="宋体" w:hAnsi="宋体" w:cs="宋体" w:hint="eastAsia"/>
        </w:rPr>
        <w:t>）出示投资者本人的银行储蓄存折（卡）原件，提供复印件；</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8</w:t>
      </w:r>
      <w:r>
        <w:rPr>
          <w:rFonts w:ascii="宋体" w:eastAsia="宋体" w:hAnsi="宋体" w:cs="宋体" w:hint="eastAsia"/>
        </w:rPr>
        <w:t>）若您为专业投资者，并签署了《专业投资者风险告知及确认函》，还需提供</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①提供相关金融机构出具的资产证明原件或工作单位出具的收入证明；</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②提供相关金融机构出具的最近</w:t>
      </w:r>
      <w:r>
        <w:rPr>
          <w:rFonts w:ascii="宋体" w:eastAsia="宋体" w:hAnsi="宋体" w:cs="宋体" w:hint="eastAsia"/>
        </w:rPr>
        <w:t xml:space="preserve">2 </w:t>
      </w:r>
      <w:r>
        <w:rPr>
          <w:rFonts w:ascii="宋体" w:eastAsia="宋体" w:hAnsi="宋体" w:cs="宋体" w:hint="eastAsia"/>
        </w:rPr>
        <w:t>年投资记录原件（如对账单或交易流水）；或如具有相关金融从业经历，则可提供由工作单位出具的在职证明。</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9</w:t>
      </w:r>
      <w:r>
        <w:rPr>
          <w:rFonts w:ascii="宋体" w:eastAsia="宋体" w:hAnsi="宋体" w:cs="宋体" w:hint="eastAsia"/>
        </w:rPr>
        <w:t>）若个人投资者需开立中登基金账户，则出示证券账户卡原件并提供复印件。</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若有代理人，需提供以下证明材料：</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1</w:t>
      </w:r>
      <w:r>
        <w:rPr>
          <w:rFonts w:ascii="宋体" w:eastAsia="宋体" w:hAnsi="宋体" w:cs="宋体" w:hint="eastAsia"/>
        </w:rPr>
        <w:t>）提供填妥并由投资者本人签章和代理人签章的</w:t>
      </w:r>
      <w:r>
        <w:rPr>
          <w:rFonts w:eastAsia="宋体" w:cs="Times New Roman" w:hint="eastAsia"/>
          <w:sz w:val="23"/>
          <w:szCs w:val="23"/>
        </w:rPr>
        <w:t>《天弘基金客户业务申请表（个人版）》</w:t>
      </w:r>
      <w:r>
        <w:rPr>
          <w:rFonts w:ascii="宋体" w:eastAsia="宋体" w:hAnsi="宋体" w:cs="宋体" w:hint="eastAsia"/>
        </w:rPr>
        <w:t>一式两份；</w:t>
      </w:r>
    </w:p>
    <w:p w:rsidR="00B663DD" w:rsidRDefault="00227883">
      <w:pPr>
        <w:ind w:firstLineChars="200" w:firstLine="480"/>
        <w:rPr>
          <w:rFonts w:eastAsia="宋体" w:cs="Times New Roman"/>
        </w:rPr>
      </w:pPr>
      <w:r>
        <w:rPr>
          <w:rFonts w:ascii="宋体" w:eastAsia="宋体" w:hAnsi="宋体" w:cs="宋体" w:hint="eastAsia"/>
        </w:rPr>
        <w:t>2</w:t>
      </w:r>
      <w:r>
        <w:rPr>
          <w:rFonts w:ascii="宋体" w:eastAsia="宋体" w:hAnsi="宋体" w:cs="宋体" w:hint="eastAsia"/>
        </w:rPr>
        <w:t>）提供填妥的《</w:t>
      </w:r>
      <w:r>
        <w:rPr>
          <w:rFonts w:eastAsia="宋体" w:cs="Times New Roman" w:hint="eastAsia"/>
          <w:sz w:val="23"/>
          <w:szCs w:val="23"/>
        </w:rPr>
        <w:t>业务授权委托书（个人版）</w:t>
      </w:r>
      <w:r>
        <w:rPr>
          <w:rFonts w:ascii="宋体" w:eastAsia="宋体" w:hAnsi="宋体" w:cs="宋体" w:hint="eastAsia"/>
        </w:rPr>
        <w:t>》一份；</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3</w:t>
      </w:r>
      <w:r>
        <w:rPr>
          <w:rFonts w:ascii="宋体" w:eastAsia="宋体" w:hAnsi="宋体" w:cs="宋体" w:hint="eastAsia"/>
        </w:rPr>
        <w:t>）提供由投资者本人签字的《风险承受能力测试问卷》一份；</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4</w:t>
      </w:r>
      <w:r>
        <w:rPr>
          <w:rFonts w:ascii="宋体" w:eastAsia="宋体" w:hAnsi="宋体" w:cs="宋体" w:hint="eastAsia"/>
        </w:rPr>
        <w:t>）提供填</w:t>
      </w:r>
      <w:r>
        <w:rPr>
          <w:rFonts w:ascii="宋体" w:eastAsia="宋体" w:hAnsi="宋体" w:cs="宋体" w:hint="eastAsia"/>
        </w:rPr>
        <w:t>妥并由本人签章《税收居民身份声明文件（个人版）》（如投资人为“非中国税收居民”或“既是中国税收居民又是其他国家地区税收居民”时，需要填写）；</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5</w:t>
      </w:r>
      <w:r>
        <w:rPr>
          <w:rFonts w:ascii="宋体" w:eastAsia="宋体" w:hAnsi="宋体" w:cs="宋体" w:hint="eastAsia"/>
        </w:rPr>
        <w:t>）提供由本人签章《普通投资者风险告知及确认函》或《专业投资者风险告知及确认函》（请根据投资者分类提供对应风险告知及确认函）；</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6</w:t>
      </w:r>
      <w:r>
        <w:rPr>
          <w:rFonts w:ascii="宋体" w:eastAsia="宋体" w:hAnsi="宋体" w:cs="宋体" w:hint="eastAsia"/>
        </w:rPr>
        <w:t>）出示投资者本人有效身份证明原件并提供能清晰看到证件有效期的证件复印件，并确保该证件的有效性；</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7</w:t>
      </w:r>
      <w:r>
        <w:rPr>
          <w:rFonts w:ascii="宋体" w:eastAsia="宋体" w:hAnsi="宋体" w:cs="宋体" w:hint="eastAsia"/>
        </w:rPr>
        <w:t>）出示代理人的有效身份证明原件并提供能清晰看到证件有效期的证件复印件，并确保该证件的有效性；</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8</w:t>
      </w:r>
      <w:r>
        <w:rPr>
          <w:rFonts w:ascii="宋体" w:eastAsia="宋体" w:hAnsi="宋体" w:cs="宋体" w:hint="eastAsia"/>
        </w:rPr>
        <w:t>）出示投资者本人的银行储蓄存折（卡）原件，提供</w:t>
      </w:r>
      <w:r>
        <w:rPr>
          <w:rFonts w:ascii="宋体" w:eastAsia="宋体" w:hAnsi="宋体" w:cs="宋体" w:hint="eastAsia"/>
        </w:rPr>
        <w:t>复印件；</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9</w:t>
      </w:r>
      <w:r>
        <w:rPr>
          <w:rFonts w:ascii="宋体" w:eastAsia="宋体" w:hAnsi="宋体" w:cs="宋体" w:hint="eastAsia"/>
        </w:rPr>
        <w:t>）天弘基金管理有限公司认为与基金账户开户有关的其他证明材料。</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）机构</w:t>
      </w:r>
      <w:r>
        <w:rPr>
          <w:rFonts w:ascii="宋体" w:eastAsia="宋体" w:hAnsi="宋体" w:cs="宋体"/>
        </w:rPr>
        <w:t>投资者办理</w:t>
      </w:r>
      <w:r>
        <w:rPr>
          <w:rFonts w:ascii="宋体" w:eastAsia="宋体" w:hAnsi="宋体" w:cs="宋体" w:hint="eastAsia"/>
        </w:rPr>
        <w:t>开户</w:t>
      </w:r>
      <w:r>
        <w:rPr>
          <w:rFonts w:ascii="宋体" w:eastAsia="宋体" w:hAnsi="宋体" w:cs="宋体"/>
        </w:rPr>
        <w:t>手续需提供</w:t>
      </w:r>
      <w:r>
        <w:rPr>
          <w:rFonts w:ascii="宋体" w:eastAsia="宋体" w:hAnsi="宋体" w:cs="宋体" w:hint="eastAsia"/>
        </w:rPr>
        <w:t>的</w:t>
      </w:r>
      <w:r>
        <w:rPr>
          <w:rFonts w:ascii="宋体" w:eastAsia="宋体" w:hAnsi="宋体" w:cs="宋体"/>
        </w:rPr>
        <w:t>资料</w:t>
      </w:r>
      <w:r>
        <w:rPr>
          <w:rFonts w:ascii="宋体" w:eastAsia="宋体" w:hAnsi="宋体" w:cs="宋体" w:hint="eastAsia"/>
        </w:rPr>
        <w:t>：</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rPr>
        <w:t>1</w:t>
      </w:r>
      <w:r>
        <w:rPr>
          <w:rFonts w:ascii="宋体" w:eastAsia="宋体" w:hAnsi="宋体" w:cs="宋体" w:hint="eastAsia"/>
        </w:rPr>
        <w:t>）提供填妥并加盖单位公章和法定代表人</w:t>
      </w:r>
      <w:r>
        <w:rPr>
          <w:rFonts w:ascii="宋体" w:eastAsia="宋体" w:hAnsi="宋体" w:cs="宋体"/>
        </w:rPr>
        <w:t>(</w:t>
      </w:r>
      <w:r>
        <w:rPr>
          <w:rFonts w:ascii="宋体" w:eastAsia="宋体" w:hAnsi="宋体" w:cs="宋体" w:hint="eastAsia"/>
        </w:rPr>
        <w:t>或授权代表人</w:t>
      </w:r>
      <w:r>
        <w:rPr>
          <w:rFonts w:ascii="宋体" w:eastAsia="宋体" w:hAnsi="宋体" w:cs="宋体"/>
        </w:rPr>
        <w:t>)</w:t>
      </w:r>
      <w:r>
        <w:rPr>
          <w:rFonts w:ascii="宋体" w:eastAsia="宋体" w:hAnsi="宋体" w:cs="宋体" w:hint="eastAsia"/>
        </w:rPr>
        <w:t>签章及经办人签章的</w:t>
      </w:r>
      <w:r>
        <w:rPr>
          <w:rFonts w:eastAsia="宋体" w:cs="Times New Roman" w:hint="eastAsia"/>
        </w:rPr>
        <w:t>《天弘基金客户业务申请表（机构版）》</w:t>
      </w:r>
      <w:r>
        <w:rPr>
          <w:rFonts w:ascii="宋体" w:eastAsia="宋体" w:hAnsi="宋体" w:cs="宋体" w:hint="eastAsia"/>
        </w:rPr>
        <w:t>一式两份；</w:t>
      </w:r>
    </w:p>
    <w:p w:rsidR="00B663DD" w:rsidRDefault="00227883">
      <w:pPr>
        <w:ind w:firstLineChars="200" w:firstLine="480"/>
        <w:rPr>
          <w:rFonts w:eastAsia="宋体" w:cs="Times New Roman"/>
        </w:rPr>
      </w:pPr>
      <w:r>
        <w:rPr>
          <w:rFonts w:ascii="宋体" w:eastAsia="宋体" w:hAnsi="宋体" w:cs="宋体"/>
        </w:rPr>
        <w:t>2</w:t>
      </w:r>
      <w:r>
        <w:rPr>
          <w:rFonts w:ascii="宋体" w:eastAsia="宋体" w:hAnsi="宋体" w:cs="宋体" w:hint="eastAsia"/>
        </w:rPr>
        <w:t>）提供填妥的</w:t>
      </w:r>
      <w:r>
        <w:rPr>
          <w:rFonts w:eastAsia="宋体" w:cs="Times New Roman" w:hint="eastAsia"/>
        </w:rPr>
        <w:t>《天弘基金客户业务印鉴卡（机构版）》</w:t>
      </w:r>
      <w:r>
        <w:rPr>
          <w:rFonts w:ascii="宋体" w:eastAsia="宋体" w:hAnsi="宋体" w:cs="宋体" w:hint="eastAsia"/>
        </w:rPr>
        <w:t>一式三份；</w:t>
      </w:r>
      <w:r>
        <w:rPr>
          <w:rFonts w:ascii="宋体" w:eastAsia="宋体" w:hAnsi="宋体" w:cs="宋体"/>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rPr>
        <w:t>3</w:t>
      </w:r>
      <w:r>
        <w:rPr>
          <w:rFonts w:ascii="宋体" w:eastAsia="宋体" w:hAnsi="宋体" w:cs="宋体" w:hint="eastAsia"/>
        </w:rPr>
        <w:t>）提供填妥并加盖单位公章和法定代表人（或授权代表人）签章及被授权人签章的《业务授权委托书（机构版）》；</w:t>
      </w:r>
      <w:r>
        <w:rPr>
          <w:rFonts w:ascii="宋体" w:eastAsia="宋体" w:hAnsi="宋体" w:cs="宋体"/>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rPr>
        <w:t>4</w:t>
      </w:r>
      <w:r>
        <w:rPr>
          <w:rFonts w:ascii="宋体" w:eastAsia="宋体" w:hAnsi="宋体" w:cs="宋体" w:hint="eastAsia"/>
        </w:rPr>
        <w:t>）投资管理人提供填妥并加盖单位公章及经办人签章的《风险承受能力测试问卷》一份；</w:t>
      </w:r>
      <w:r>
        <w:rPr>
          <w:rFonts w:ascii="宋体" w:eastAsia="宋体" w:hAnsi="宋体" w:cs="宋体"/>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rPr>
        <w:t>5</w:t>
      </w:r>
      <w:r>
        <w:rPr>
          <w:rFonts w:ascii="宋体" w:eastAsia="宋体" w:hAnsi="宋体" w:cs="宋体" w:hint="eastAsia"/>
        </w:rPr>
        <w:t>）提供填妥并加盖单位公章的《投资人传真委托服务协议》一式两份；</w:t>
      </w:r>
      <w:r>
        <w:rPr>
          <w:rFonts w:ascii="宋体" w:eastAsia="宋体" w:hAnsi="宋体" w:cs="宋体"/>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rPr>
        <w:t>6</w:t>
      </w:r>
      <w:r>
        <w:rPr>
          <w:rFonts w:ascii="宋体" w:eastAsia="宋体" w:hAnsi="宋体" w:cs="宋体" w:hint="eastAsia"/>
        </w:rPr>
        <w:t>）提供填妥并加盖单位公章的《投资者风险告知及确认函》；</w:t>
      </w:r>
      <w:r>
        <w:rPr>
          <w:rFonts w:ascii="宋体" w:eastAsia="宋体" w:hAnsi="宋体" w:cs="宋体"/>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7</w:t>
      </w:r>
      <w:r>
        <w:rPr>
          <w:rFonts w:ascii="宋体" w:eastAsia="宋体" w:hAnsi="宋体" w:cs="宋体" w:hint="eastAsia"/>
        </w:rPr>
        <w:t>）提供填妥并加盖单位公章和法定代表人授权代表签章《机构税收居民身份声明文件》；（请根据《</w:t>
      </w:r>
      <w:r>
        <w:rPr>
          <w:rFonts w:eastAsia="宋体" w:cs="Times New Roman" w:hint="eastAsia"/>
        </w:rPr>
        <w:t>天弘基金客户业务申请表</w:t>
      </w:r>
      <w:r>
        <w:rPr>
          <w:rFonts w:ascii="宋体" w:eastAsia="宋体" w:hAnsi="宋体" w:cs="宋体" w:hint="eastAsia"/>
        </w:rPr>
        <w:t>》中税收居民信息问题进行提供）</w:t>
      </w:r>
      <w:r>
        <w:rPr>
          <w:rFonts w:ascii="宋体" w:eastAsia="宋体" w:hAnsi="宋体" w:cs="宋体" w:hint="eastAsia"/>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8</w:t>
      </w:r>
      <w:r>
        <w:rPr>
          <w:rFonts w:ascii="宋体" w:eastAsia="宋体" w:hAnsi="宋体" w:cs="宋体" w:hint="eastAsia"/>
        </w:rPr>
        <w:t>）提供填妥并加盖单位公章和经办人签章的《非自然人受益所有人信息登记表》及对应证明文件；</w:t>
      </w:r>
      <w:r>
        <w:rPr>
          <w:rFonts w:ascii="宋体" w:eastAsia="宋体" w:hAnsi="宋体" w:cs="宋体" w:hint="eastAsia"/>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9</w:t>
      </w:r>
      <w:r>
        <w:rPr>
          <w:rFonts w:ascii="宋体" w:eastAsia="宋体" w:hAnsi="宋体" w:cs="宋体" w:hint="eastAsia"/>
        </w:rPr>
        <w:t>）提供加盖单位公章的营业执照正、副本或事业法人、社会团体或其他组织的主管部门或民政部门颁发的注册登记证书的复印件；</w:t>
      </w:r>
      <w:r>
        <w:rPr>
          <w:rFonts w:ascii="宋体" w:eastAsia="宋体" w:hAnsi="宋体" w:cs="宋体" w:hint="eastAsia"/>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10</w:t>
      </w:r>
      <w:r>
        <w:rPr>
          <w:rFonts w:ascii="宋体" w:eastAsia="宋体" w:hAnsi="宋体" w:cs="宋体" w:hint="eastAsia"/>
        </w:rPr>
        <w:t>）提供加盖单位公章的组织机构代码证和税务登记证的复印件；（如提供营业执照为统一社会信用代码证可不提供此项）；</w:t>
      </w:r>
      <w:r>
        <w:rPr>
          <w:rFonts w:ascii="宋体" w:eastAsia="宋体" w:hAnsi="宋体" w:cs="宋体" w:hint="eastAsia"/>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11</w:t>
      </w:r>
      <w:r>
        <w:rPr>
          <w:rFonts w:ascii="宋体" w:eastAsia="宋体" w:hAnsi="宋体" w:cs="宋体" w:hint="eastAsia"/>
        </w:rPr>
        <w:t>）提供加盖单位公章的开展金融相关业务资格证明文件的复印件；</w:t>
      </w:r>
      <w:r>
        <w:rPr>
          <w:rFonts w:ascii="宋体" w:eastAsia="宋体" w:hAnsi="宋体" w:cs="宋体" w:hint="eastAsia"/>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12</w:t>
      </w:r>
      <w:r>
        <w:rPr>
          <w:rFonts w:ascii="宋体" w:eastAsia="宋体" w:hAnsi="宋体" w:cs="宋体" w:hint="eastAsia"/>
        </w:rPr>
        <w:t>）提供加盖单位公章的由银行出具的银行账户证明的复印件；</w:t>
      </w:r>
      <w:r>
        <w:rPr>
          <w:rFonts w:ascii="宋体" w:eastAsia="宋体" w:hAnsi="宋体" w:cs="宋体" w:hint="eastAsia"/>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13</w:t>
      </w:r>
      <w:r>
        <w:rPr>
          <w:rFonts w:ascii="宋体" w:eastAsia="宋体" w:hAnsi="宋体" w:cs="宋体" w:hint="eastAsia"/>
        </w:rPr>
        <w:t>）提供加盖单位公章的法定代表人有效身份证件正反面的复印件；</w:t>
      </w:r>
      <w:r>
        <w:rPr>
          <w:rFonts w:ascii="宋体" w:eastAsia="宋体" w:hAnsi="宋体" w:cs="宋体" w:hint="eastAsia"/>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14</w:t>
      </w:r>
      <w:r>
        <w:rPr>
          <w:rFonts w:ascii="宋体" w:eastAsia="宋体" w:hAnsi="宋体" w:cs="宋体" w:hint="eastAsia"/>
        </w:rPr>
        <w:t>）提供加盖单位公章的经办人有效身份证件正反面的复印件；</w:t>
      </w:r>
      <w:r>
        <w:rPr>
          <w:rFonts w:ascii="宋体" w:eastAsia="宋体" w:hAnsi="宋体" w:cs="宋体" w:hint="eastAsia"/>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15</w:t>
      </w:r>
      <w:r>
        <w:rPr>
          <w:rFonts w:ascii="宋体" w:eastAsia="宋体" w:hAnsi="宋体" w:cs="宋体" w:hint="eastAsia"/>
        </w:rPr>
        <w:t>）提供天弘基金管理有限公司认为与基金账户开户有关的其它证明材料；</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3</w:t>
      </w:r>
      <w:r>
        <w:rPr>
          <w:rFonts w:ascii="宋体" w:eastAsia="宋体" w:hAnsi="宋体" w:cs="宋体" w:hint="eastAsia"/>
        </w:rPr>
        <w:t>、认购</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rPr>
        <w:t>个人投资者办理认购手续需提供</w:t>
      </w:r>
      <w:r>
        <w:rPr>
          <w:rFonts w:ascii="宋体" w:eastAsia="宋体" w:hAnsi="宋体" w:cs="宋体" w:hint="eastAsia"/>
        </w:rPr>
        <w:t>的</w:t>
      </w:r>
      <w:r>
        <w:rPr>
          <w:rFonts w:ascii="宋体" w:eastAsia="宋体" w:hAnsi="宋体" w:cs="宋体"/>
        </w:rPr>
        <w:t>资料</w:t>
      </w:r>
      <w:r>
        <w:rPr>
          <w:rFonts w:ascii="宋体" w:eastAsia="宋体" w:hAnsi="宋体" w:cs="宋体" w:hint="eastAsia"/>
        </w:rPr>
        <w:t>：</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1</w:t>
      </w:r>
      <w:r>
        <w:rPr>
          <w:rFonts w:ascii="宋体" w:eastAsia="宋体" w:hAnsi="宋体" w:cs="宋体" w:hint="eastAsia"/>
        </w:rPr>
        <w:t>）有效身份证明</w:t>
      </w:r>
      <w:r>
        <w:rPr>
          <w:rFonts w:ascii="宋体" w:eastAsia="宋体" w:hAnsi="宋体" w:cs="宋体" w:hint="eastAsia"/>
        </w:rPr>
        <w:t>文件原件及复印件；</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2</w:t>
      </w:r>
      <w:r>
        <w:rPr>
          <w:rFonts w:ascii="宋体" w:eastAsia="宋体" w:hAnsi="宋体" w:cs="宋体" w:hint="eastAsia"/>
        </w:rPr>
        <w:t>）资金结算凭证或复印件；</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3</w:t>
      </w:r>
      <w:r>
        <w:rPr>
          <w:rFonts w:ascii="宋体" w:eastAsia="宋体" w:hAnsi="宋体" w:cs="宋体" w:hint="eastAsia"/>
        </w:rPr>
        <w:t>）填妥的经本人签字确认的《交易业务申请表》；</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4</w:t>
      </w:r>
      <w:r>
        <w:rPr>
          <w:rFonts w:ascii="宋体" w:eastAsia="宋体" w:hAnsi="宋体" w:cs="宋体" w:hint="eastAsia"/>
        </w:rPr>
        <w:t>）委托他人代办的，还需提供授权委托书、代办人的有效身份证明文件及复印件。</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）机构</w:t>
      </w:r>
      <w:r>
        <w:rPr>
          <w:rFonts w:ascii="宋体" w:eastAsia="宋体" w:hAnsi="宋体" w:cs="宋体"/>
        </w:rPr>
        <w:t>投资者办理认购手续需提供</w:t>
      </w:r>
      <w:r>
        <w:rPr>
          <w:rFonts w:ascii="宋体" w:eastAsia="宋体" w:hAnsi="宋体" w:cs="宋体" w:hint="eastAsia"/>
        </w:rPr>
        <w:t>的</w:t>
      </w:r>
      <w:r>
        <w:rPr>
          <w:rFonts w:ascii="宋体" w:eastAsia="宋体" w:hAnsi="宋体" w:cs="宋体"/>
        </w:rPr>
        <w:t>资料</w:t>
      </w:r>
      <w:r>
        <w:rPr>
          <w:rFonts w:ascii="宋体" w:eastAsia="宋体" w:hAnsi="宋体" w:cs="宋体" w:hint="eastAsia"/>
        </w:rPr>
        <w:t>：</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rPr>
        <w:t>1</w:t>
      </w:r>
      <w:r>
        <w:rPr>
          <w:rFonts w:ascii="宋体" w:eastAsia="宋体" w:hAnsi="宋体" w:cs="宋体" w:hint="eastAsia"/>
        </w:rPr>
        <w:t>）提供加盖预留印鉴及经办人签章的《开放式基金认</w:t>
      </w:r>
      <w:r>
        <w:rPr>
          <w:rFonts w:ascii="宋体" w:eastAsia="宋体" w:hAnsi="宋体" w:cs="宋体"/>
        </w:rPr>
        <w:t>/</w:t>
      </w:r>
      <w:r>
        <w:rPr>
          <w:rFonts w:ascii="宋体" w:eastAsia="宋体" w:hAnsi="宋体" w:cs="宋体" w:hint="eastAsia"/>
        </w:rPr>
        <w:t>申购、赎回业务申请表（机构版）》；提供加盖单位公章的经办人有效身份证件正反面的复印件。</w:t>
      </w:r>
      <w:r>
        <w:rPr>
          <w:rFonts w:ascii="宋体" w:eastAsia="宋体" w:hAnsi="宋体" w:cs="宋体"/>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rPr>
        <w:t>2</w:t>
      </w:r>
      <w:r>
        <w:rPr>
          <w:rFonts w:ascii="宋体" w:eastAsia="宋体" w:hAnsi="宋体" w:cs="宋体" w:hint="eastAsia"/>
        </w:rPr>
        <w:t>）普通投资者如有以下情形，则需另外提供以下资料：</w:t>
      </w:r>
      <w:r>
        <w:rPr>
          <w:rFonts w:ascii="宋体" w:eastAsia="宋体" w:hAnsi="宋体" w:cs="宋体"/>
        </w:rPr>
        <w:t xml:space="preserve"> </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申请认</w:t>
      </w:r>
      <w:r>
        <w:rPr>
          <w:rFonts w:ascii="宋体" w:eastAsia="宋体" w:hAnsi="宋体" w:cs="宋体"/>
        </w:rPr>
        <w:t>/</w:t>
      </w:r>
      <w:r>
        <w:rPr>
          <w:rFonts w:ascii="宋体" w:eastAsia="宋体" w:hAnsi="宋体" w:cs="宋体" w:hint="eastAsia"/>
        </w:rPr>
        <w:t>申购基金产品高于自身风险测评的风险等级时，提供投资者本人签署的《风险不匹配警示函及投资者确认书》。</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rPr>
        <w:t>4</w:t>
      </w:r>
      <w:r>
        <w:rPr>
          <w:rFonts w:ascii="宋体" w:eastAsia="宋体" w:hAnsi="宋体" w:cs="宋体"/>
        </w:rPr>
        <w:t>、认购资金的划拨</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投资者办理本基金的认购需</w:t>
      </w:r>
      <w:r>
        <w:rPr>
          <w:rFonts w:ascii="宋体" w:eastAsia="宋体" w:hAnsi="宋体" w:cs="宋体"/>
        </w:rPr>
        <w:t>将足额认购资金汇入本公司</w:t>
      </w:r>
      <w:r>
        <w:rPr>
          <w:rFonts w:ascii="宋体" w:eastAsia="宋体" w:hAnsi="宋体" w:cs="宋体" w:hint="eastAsia"/>
        </w:rPr>
        <w:t>以下基金直销资金账户</w:t>
      </w:r>
      <w:r>
        <w:rPr>
          <w:rFonts w:ascii="宋体" w:eastAsia="宋体" w:hAnsi="宋体" w:cs="宋体"/>
        </w:rPr>
        <w:t>：</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账户名称：天弘基金管理有限公司</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开户银行：中国工商银行天津市西康路支行</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银行账号：</w:t>
      </w:r>
      <w:r>
        <w:rPr>
          <w:rFonts w:ascii="宋体" w:eastAsia="宋体" w:hAnsi="宋体" w:cs="宋体"/>
        </w:rPr>
        <w:t>0302011229300234825</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人民银行大额支付系统联行号：</w:t>
      </w:r>
      <w:r>
        <w:rPr>
          <w:rFonts w:ascii="宋体" w:eastAsia="宋体" w:hAnsi="宋体" w:cs="宋体" w:hint="eastAsia"/>
        </w:rPr>
        <w:t>102110000156</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5</w:t>
      </w:r>
      <w:r>
        <w:rPr>
          <w:rFonts w:ascii="宋体" w:eastAsia="宋体" w:hAnsi="宋体" w:cs="宋体" w:hint="eastAsia"/>
        </w:rPr>
        <w:t>、注意事项</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rPr>
        <w:t>投资者须注明</w:t>
      </w:r>
      <w:r>
        <w:rPr>
          <w:rFonts w:ascii="宋体" w:eastAsia="宋体" w:hAnsi="宋体" w:cs="宋体" w:hint="eastAsia"/>
        </w:rPr>
        <w:t>认购</w:t>
      </w:r>
      <w:r>
        <w:rPr>
          <w:rFonts w:ascii="宋体" w:eastAsia="宋体" w:hAnsi="宋体" w:cs="宋体"/>
        </w:rPr>
        <w:t>的基金</w:t>
      </w:r>
      <w:r>
        <w:rPr>
          <w:rFonts w:ascii="宋体" w:eastAsia="宋体" w:hAnsi="宋体" w:cs="宋体" w:hint="eastAsia"/>
        </w:rPr>
        <w:t>份额</w:t>
      </w:r>
      <w:r>
        <w:rPr>
          <w:rFonts w:ascii="宋体" w:eastAsia="宋体" w:hAnsi="宋体" w:cs="宋体"/>
        </w:rPr>
        <w:t>名称或基金代码</w:t>
      </w:r>
      <w:r>
        <w:rPr>
          <w:rFonts w:ascii="宋体" w:eastAsia="宋体" w:hAnsi="宋体" w:cs="宋体" w:hint="eastAsia"/>
        </w:rPr>
        <w:t>。</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）以下情形将被认定为无效认购</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1</w:t>
      </w:r>
      <w:r>
        <w:rPr>
          <w:rFonts w:ascii="宋体" w:eastAsia="宋体" w:hAnsi="宋体" w:cs="宋体" w:hint="eastAsia"/>
        </w:rPr>
        <w:t>）投资者已划付资金，但逾期未办理开户手续或开</w:t>
      </w:r>
      <w:r>
        <w:rPr>
          <w:rFonts w:ascii="宋体" w:eastAsia="宋体" w:hAnsi="宋体" w:cs="宋体" w:hint="eastAsia"/>
        </w:rPr>
        <w:t>户不成功的；</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2</w:t>
      </w:r>
      <w:r>
        <w:rPr>
          <w:rFonts w:ascii="宋体" w:eastAsia="宋体" w:hAnsi="宋体" w:cs="宋体" w:hint="eastAsia"/>
        </w:rPr>
        <w:t>）投资者已划付资金，但逾期未办理认购手续的；</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3</w:t>
      </w:r>
      <w:r>
        <w:rPr>
          <w:rFonts w:ascii="宋体" w:eastAsia="宋体" w:hAnsi="宋体" w:cs="宋体" w:hint="eastAsia"/>
        </w:rPr>
        <w:t>）投资者已划付的认购资金少于其申请的认购金额的；</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4</w:t>
      </w:r>
      <w:r>
        <w:rPr>
          <w:rFonts w:ascii="宋体" w:eastAsia="宋体" w:hAnsi="宋体" w:cs="宋体" w:hint="eastAsia"/>
        </w:rPr>
        <w:t>）本公司确认的其它无效资金。</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rPr>
        <w:t>投资者</w:t>
      </w:r>
      <w:r>
        <w:rPr>
          <w:rFonts w:ascii="宋体" w:eastAsia="宋体" w:hAnsi="宋体" w:cs="宋体" w:hint="eastAsia"/>
        </w:rPr>
        <w:t>因</w:t>
      </w:r>
      <w:r>
        <w:rPr>
          <w:rFonts w:ascii="宋体" w:eastAsia="宋体" w:hAnsi="宋体" w:cs="宋体"/>
        </w:rPr>
        <w:t>上述</w:t>
      </w:r>
      <w:r>
        <w:rPr>
          <w:rFonts w:ascii="宋体" w:eastAsia="宋体" w:hAnsi="宋体" w:cs="宋体" w:hint="eastAsia"/>
        </w:rPr>
        <w:t>情形</w:t>
      </w:r>
      <w:r>
        <w:rPr>
          <w:rFonts w:ascii="宋体" w:eastAsia="宋体" w:hAnsi="宋体" w:cs="宋体"/>
        </w:rPr>
        <w:t>造成认购无效的，</w:t>
      </w:r>
      <w:r>
        <w:rPr>
          <w:rFonts w:ascii="宋体" w:eastAsia="宋体" w:hAnsi="宋体" w:cs="宋体" w:hint="eastAsia"/>
        </w:rPr>
        <w:t>本</w:t>
      </w:r>
      <w:r>
        <w:rPr>
          <w:rFonts w:ascii="宋体" w:eastAsia="宋体" w:hAnsi="宋体" w:cs="宋体"/>
        </w:rPr>
        <w:t>公司及直销</w:t>
      </w:r>
      <w:r>
        <w:rPr>
          <w:rFonts w:ascii="宋体" w:eastAsia="宋体" w:hAnsi="宋体" w:cs="宋体" w:hint="eastAsia"/>
        </w:rPr>
        <w:t>专</w:t>
      </w:r>
      <w:r>
        <w:rPr>
          <w:rFonts w:ascii="宋体" w:eastAsia="宋体" w:hAnsi="宋体" w:cs="宋体"/>
        </w:rPr>
        <w:t>户的开户银行不承担任何责任</w:t>
      </w:r>
      <w:r>
        <w:rPr>
          <w:rFonts w:ascii="宋体" w:eastAsia="宋体" w:hAnsi="宋体" w:cs="宋体" w:hint="eastAsia"/>
        </w:rPr>
        <w:t>。</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hint="eastAsia"/>
        </w:rPr>
        <w:t>6</w:t>
      </w:r>
      <w:r>
        <w:rPr>
          <w:rFonts w:ascii="宋体" w:eastAsia="宋体" w:hAnsi="宋体" w:cs="宋体" w:hint="eastAsia"/>
        </w:rPr>
        <w:t>、</w:t>
      </w:r>
      <w:r>
        <w:rPr>
          <w:rFonts w:ascii="宋体" w:eastAsia="宋体" w:hAnsi="宋体" w:cs="宋体"/>
        </w:rPr>
        <w:t>投资者通过本公司网上交易系统认购本基金的有关业务规则和注意事项请</w:t>
      </w:r>
      <w:r>
        <w:rPr>
          <w:rFonts w:ascii="宋体" w:eastAsia="宋体" w:hAnsi="宋体" w:cs="宋体" w:hint="eastAsia"/>
        </w:rPr>
        <w:t>登录</w:t>
      </w:r>
      <w:r>
        <w:rPr>
          <w:rFonts w:ascii="宋体" w:eastAsia="宋体" w:hAnsi="宋体" w:cs="宋体"/>
        </w:rPr>
        <w:t>本公司网址（</w:t>
      </w:r>
      <w:r>
        <w:rPr>
          <w:rFonts w:ascii="宋体" w:eastAsia="宋体" w:hAnsi="宋体" w:cs="宋体"/>
        </w:rPr>
        <w:t>www.thfund.com.cn</w:t>
      </w:r>
      <w:r>
        <w:rPr>
          <w:rFonts w:ascii="宋体" w:eastAsia="宋体" w:hAnsi="宋体" w:cs="宋体"/>
        </w:rPr>
        <w:t>）查询。</w:t>
      </w:r>
    </w:p>
    <w:p w:rsidR="00B663DD" w:rsidRDefault="00227883">
      <w:pPr>
        <w:autoSpaceDE w:val="0"/>
        <w:autoSpaceDN w:val="0"/>
        <w:adjustRightInd w:val="0"/>
        <w:spacing w:line="360" w:lineRule="auto"/>
        <w:ind w:firstLineChars="200" w:firstLine="480"/>
        <w:jc w:val="both"/>
        <w:rPr>
          <w:rFonts w:ascii="宋体" w:eastAsia="宋体" w:hAnsi="宋体" w:cs="宋体"/>
        </w:rPr>
      </w:pPr>
      <w:r>
        <w:rPr>
          <w:rFonts w:ascii="宋体" w:eastAsia="宋体" w:hAnsi="宋体" w:cs="宋体"/>
        </w:rPr>
        <w:t>7</w:t>
      </w:r>
      <w:r>
        <w:rPr>
          <w:rFonts w:ascii="宋体" w:eastAsia="宋体" w:hAnsi="宋体" w:cs="宋体" w:hint="eastAsia"/>
        </w:rPr>
        <w:t>、</w:t>
      </w:r>
      <w:r>
        <w:rPr>
          <w:rFonts w:ascii="宋体" w:eastAsia="宋体" w:hAnsi="宋体" w:cs="宋体"/>
        </w:rPr>
        <w:t>投资者在其他销售机构开户及认购手续，具体以各销售机构的相关业务规定或说明为准。</w:t>
      </w:r>
    </w:p>
    <w:p w:rsidR="00B663DD" w:rsidRDefault="00227883">
      <w:pPr>
        <w:spacing w:line="360" w:lineRule="auto"/>
        <w:ind w:firstLineChars="250" w:firstLine="600"/>
        <w:rPr>
          <w:rFonts w:ascii="宋体" w:hAnsi="宋体"/>
          <w:color w:val="000000"/>
        </w:rPr>
      </w:pPr>
      <w:r>
        <w:rPr>
          <w:rFonts w:ascii="宋体" w:eastAsia="宋体" w:hAnsi="宋体" w:cs="宋体"/>
        </w:rPr>
        <w:t>8</w:t>
      </w:r>
      <w:r>
        <w:rPr>
          <w:rFonts w:ascii="宋体" w:eastAsia="宋体" w:hAnsi="宋体" w:cs="宋体" w:hint="eastAsia"/>
        </w:rPr>
        <w:t>、</w:t>
      </w:r>
      <w:r>
        <w:rPr>
          <w:rFonts w:ascii="宋体" w:eastAsia="宋体" w:hAnsi="宋体" w:cs="宋体"/>
        </w:rPr>
        <w:t>合格境外机构投资者以及法律法规或中国证监会允许购买证券投资基金的其他投资人的的开户及认购程序以销售机构的业务规定为准。</w:t>
      </w:r>
    </w:p>
    <w:p w:rsidR="00B663DD" w:rsidRDefault="00B663DD">
      <w:pPr>
        <w:pStyle w:val="1"/>
        <w:spacing w:before="0" w:after="0" w:line="360" w:lineRule="auto"/>
        <w:ind w:firstLineChars="235" w:firstLine="566"/>
        <w:jc w:val="both"/>
        <w:rPr>
          <w:rFonts w:ascii="宋体" w:hAnsi="宋体"/>
          <w:bCs w:val="0"/>
          <w:kern w:val="0"/>
          <w:sz w:val="24"/>
          <w:szCs w:val="24"/>
        </w:rPr>
      </w:pPr>
      <w:bookmarkStart w:id="3" w:name="_Toc129634153"/>
    </w:p>
    <w:p w:rsidR="00B663DD" w:rsidRDefault="00227883">
      <w:pPr>
        <w:pStyle w:val="1"/>
        <w:spacing w:before="0" w:after="0" w:line="360" w:lineRule="auto"/>
        <w:ind w:firstLineChars="235" w:firstLine="566"/>
        <w:jc w:val="both"/>
        <w:rPr>
          <w:rFonts w:ascii="宋体" w:hAnsi="宋体"/>
          <w:bCs w:val="0"/>
          <w:kern w:val="0"/>
          <w:sz w:val="24"/>
          <w:szCs w:val="24"/>
        </w:rPr>
      </w:pPr>
      <w:r>
        <w:rPr>
          <w:rFonts w:ascii="宋体" w:hAnsi="宋体" w:hint="eastAsia"/>
          <w:bCs w:val="0"/>
          <w:kern w:val="0"/>
          <w:sz w:val="24"/>
          <w:szCs w:val="24"/>
        </w:rPr>
        <w:t>四</w:t>
      </w:r>
      <w:r>
        <w:rPr>
          <w:rFonts w:ascii="宋体" w:hAnsi="宋体"/>
          <w:bCs w:val="0"/>
          <w:kern w:val="0"/>
          <w:sz w:val="24"/>
          <w:szCs w:val="24"/>
        </w:rPr>
        <w:t>、清算与交</w:t>
      </w:r>
      <w:r>
        <w:rPr>
          <w:rFonts w:ascii="宋体" w:hAnsi="宋体" w:hint="eastAsia"/>
          <w:bCs w:val="0"/>
          <w:kern w:val="0"/>
          <w:sz w:val="24"/>
          <w:szCs w:val="24"/>
        </w:rPr>
        <w:t>收</w:t>
      </w:r>
      <w:bookmarkEnd w:id="3"/>
    </w:p>
    <w:p w:rsidR="00B663DD" w:rsidRDefault="00227883">
      <w:pPr>
        <w:spacing w:line="360" w:lineRule="auto"/>
        <w:ind w:firstLineChars="200" w:firstLine="480"/>
        <w:jc w:val="both"/>
        <w:rPr>
          <w:rFonts w:ascii="宋体" w:hAnsi="宋体"/>
        </w:rPr>
      </w:pPr>
      <w:r>
        <w:rPr>
          <w:rFonts w:ascii="宋体" w:hAnsi="宋体"/>
        </w:rPr>
        <w:t>1</w:t>
      </w:r>
      <w:r>
        <w:rPr>
          <w:rFonts w:ascii="宋体" w:hAnsi="宋体"/>
        </w:rPr>
        <w:t>、</w:t>
      </w:r>
      <w:r>
        <w:rPr>
          <w:rFonts w:ascii="宋体" w:hAnsi="宋体" w:hint="eastAsia"/>
        </w:rPr>
        <w:t>投资者无效认购资金或未获得确认的认购资金将于基金</w:t>
      </w:r>
      <w:r>
        <w:rPr>
          <w:rFonts w:ascii="宋体" w:hAnsi="宋体" w:cs="宋体" w:hint="eastAsia"/>
        </w:rPr>
        <w:t>注册登记机构</w:t>
      </w:r>
      <w:r>
        <w:rPr>
          <w:rFonts w:ascii="宋体" w:hAnsi="宋体" w:hint="eastAsia"/>
        </w:rPr>
        <w:t>确认为无效后</w:t>
      </w:r>
      <w:r>
        <w:rPr>
          <w:rFonts w:ascii="宋体" w:hAnsi="宋体" w:hint="eastAsia"/>
        </w:rPr>
        <w:t>5</w:t>
      </w:r>
      <w:r>
        <w:rPr>
          <w:rFonts w:ascii="宋体" w:hAnsi="宋体" w:hint="eastAsia"/>
        </w:rPr>
        <w:t>个工作日内划入投资者指定账户。</w:t>
      </w:r>
    </w:p>
    <w:p w:rsidR="00B663DD" w:rsidRDefault="00227883">
      <w:pPr>
        <w:spacing w:line="360" w:lineRule="auto"/>
        <w:ind w:firstLineChars="200" w:firstLine="480"/>
        <w:jc w:val="both"/>
        <w:rPr>
          <w:rFonts w:ascii="宋体" w:hAnsi="宋体"/>
        </w:rPr>
      </w:pPr>
      <w:r>
        <w:rPr>
          <w:rFonts w:ascii="宋体" w:hAnsi="宋体" w:hint="eastAsia"/>
        </w:rPr>
        <w:t>2</w:t>
      </w:r>
      <w:r>
        <w:rPr>
          <w:rFonts w:ascii="宋体" w:hAnsi="宋体" w:hint="eastAsia"/>
        </w:rPr>
        <w:t>、</w:t>
      </w:r>
      <w:r>
        <w:rPr>
          <w:rFonts w:ascii="宋体" w:hAnsi="宋体"/>
        </w:rPr>
        <w:t>本基金《</w:t>
      </w:r>
      <w:r>
        <w:rPr>
          <w:rFonts w:ascii="宋体" w:hAnsi="宋体" w:hint="eastAsia"/>
        </w:rPr>
        <w:t>基金</w:t>
      </w:r>
      <w:r>
        <w:rPr>
          <w:rFonts w:ascii="宋体" w:hAnsi="宋体"/>
        </w:rPr>
        <w:t>合同》生效前，全部认购资金将</w:t>
      </w:r>
      <w:r>
        <w:rPr>
          <w:rFonts w:ascii="宋体" w:hAnsi="宋体" w:hint="eastAsia"/>
        </w:rPr>
        <w:t>存入专门账户，募集</w:t>
      </w:r>
      <w:r>
        <w:rPr>
          <w:rFonts w:ascii="宋体" w:hAnsi="宋体"/>
        </w:rPr>
        <w:t>期间产生的资金利息</w:t>
      </w:r>
      <w:r>
        <w:rPr>
          <w:rFonts w:ascii="宋体" w:hAnsi="宋体" w:hint="eastAsia"/>
        </w:rPr>
        <w:t>将折合成基金份额归基金份额持有人所有，其中利息转份额以基金注册登记机构的记录为准。</w:t>
      </w:r>
    </w:p>
    <w:p w:rsidR="00B663DD" w:rsidRDefault="00227883">
      <w:pPr>
        <w:pStyle w:val="1"/>
        <w:spacing w:before="0" w:after="0" w:line="360" w:lineRule="auto"/>
        <w:ind w:firstLineChars="200" w:firstLine="480"/>
        <w:jc w:val="both"/>
        <w:rPr>
          <w:rFonts w:ascii="宋体" w:hAnsi="宋体"/>
          <w:b w:val="0"/>
          <w:bCs w:val="0"/>
          <w:kern w:val="0"/>
          <w:sz w:val="24"/>
          <w:szCs w:val="24"/>
        </w:rPr>
      </w:pPr>
      <w:r>
        <w:rPr>
          <w:rFonts w:ascii="宋体" w:hAnsi="宋体"/>
          <w:b w:val="0"/>
          <w:bCs w:val="0"/>
          <w:kern w:val="0"/>
          <w:sz w:val="24"/>
          <w:szCs w:val="24"/>
        </w:rPr>
        <w:t>3</w:t>
      </w:r>
      <w:r>
        <w:rPr>
          <w:rFonts w:ascii="宋体" w:hAnsi="宋体"/>
          <w:b w:val="0"/>
          <w:bCs w:val="0"/>
          <w:kern w:val="0"/>
          <w:sz w:val="24"/>
          <w:szCs w:val="24"/>
        </w:rPr>
        <w:t>、基金募集结束后，基金注册登记机构将根据相关法律法规以及业务规则和《基金合同》的约定，完成基金份额持有人的权益登记。</w:t>
      </w:r>
    </w:p>
    <w:p w:rsidR="00B663DD" w:rsidRDefault="00B663DD">
      <w:pPr>
        <w:pStyle w:val="1"/>
        <w:spacing w:before="0" w:after="0" w:line="360" w:lineRule="auto"/>
        <w:ind w:firstLineChars="235" w:firstLine="564"/>
        <w:jc w:val="both"/>
        <w:rPr>
          <w:rFonts w:ascii="宋体" w:hAnsi="宋体"/>
          <w:b w:val="0"/>
          <w:bCs w:val="0"/>
          <w:kern w:val="0"/>
          <w:sz w:val="24"/>
          <w:szCs w:val="24"/>
        </w:rPr>
      </w:pPr>
      <w:bookmarkStart w:id="4" w:name="_Toc129634154"/>
    </w:p>
    <w:p w:rsidR="00B663DD" w:rsidRDefault="00227883">
      <w:pPr>
        <w:pStyle w:val="1"/>
        <w:spacing w:before="0" w:after="0" w:line="360" w:lineRule="auto"/>
        <w:ind w:firstLineChars="235" w:firstLine="566"/>
        <w:jc w:val="both"/>
        <w:rPr>
          <w:rFonts w:ascii="宋体" w:hAnsi="宋体"/>
          <w:bCs w:val="0"/>
          <w:kern w:val="0"/>
          <w:sz w:val="24"/>
          <w:szCs w:val="24"/>
        </w:rPr>
      </w:pPr>
      <w:r>
        <w:rPr>
          <w:rFonts w:ascii="宋体" w:hAnsi="宋体" w:hint="eastAsia"/>
          <w:bCs w:val="0"/>
          <w:kern w:val="0"/>
          <w:sz w:val="24"/>
          <w:szCs w:val="24"/>
        </w:rPr>
        <w:t>五</w:t>
      </w:r>
      <w:r>
        <w:rPr>
          <w:rFonts w:ascii="宋体" w:hAnsi="宋体"/>
          <w:bCs w:val="0"/>
          <w:kern w:val="0"/>
          <w:sz w:val="24"/>
          <w:szCs w:val="24"/>
        </w:rPr>
        <w:t>、基金的验资与</w:t>
      </w:r>
      <w:r>
        <w:rPr>
          <w:rFonts w:ascii="宋体" w:hAnsi="宋体" w:hint="eastAsia"/>
          <w:bCs w:val="0"/>
          <w:kern w:val="0"/>
          <w:sz w:val="24"/>
          <w:szCs w:val="24"/>
        </w:rPr>
        <w:t>基金</w:t>
      </w:r>
      <w:r>
        <w:rPr>
          <w:rFonts w:ascii="宋体" w:hAnsi="宋体"/>
          <w:bCs w:val="0"/>
          <w:kern w:val="0"/>
          <w:sz w:val="24"/>
          <w:szCs w:val="24"/>
        </w:rPr>
        <w:t>合同生效</w:t>
      </w:r>
      <w:bookmarkEnd w:id="4"/>
    </w:p>
    <w:p w:rsidR="00B663DD" w:rsidRDefault="00227883">
      <w:pPr>
        <w:spacing w:line="360" w:lineRule="auto"/>
        <w:ind w:firstLineChars="200" w:firstLine="480"/>
        <w:jc w:val="both"/>
        <w:rPr>
          <w:rFonts w:ascii="宋体" w:hAnsi="宋体"/>
        </w:rPr>
      </w:pPr>
      <w:r>
        <w:rPr>
          <w:rFonts w:ascii="宋体" w:hAnsi="宋体" w:hint="eastAsia"/>
        </w:rPr>
        <w:t>1</w:t>
      </w:r>
      <w:r>
        <w:rPr>
          <w:rFonts w:ascii="宋体" w:hAnsi="宋体" w:hint="eastAsia"/>
        </w:rPr>
        <w:t>、本基金自基金份额发售之日起</w:t>
      </w:r>
      <w:r>
        <w:rPr>
          <w:rFonts w:ascii="宋体" w:hAnsi="宋体" w:hint="eastAsia"/>
        </w:rPr>
        <w:t>3</w:t>
      </w:r>
      <w:r>
        <w:rPr>
          <w:rFonts w:ascii="宋体" w:hAnsi="宋体" w:hint="eastAsia"/>
        </w:rPr>
        <w:t>个月内，发起资金提供方认购本基金的金额不少于</w:t>
      </w:r>
      <w:r>
        <w:rPr>
          <w:rFonts w:ascii="宋体" w:hAnsi="宋体" w:hint="eastAsia"/>
        </w:rPr>
        <w:t>1000</w:t>
      </w:r>
      <w:r>
        <w:rPr>
          <w:rFonts w:ascii="宋体" w:hAnsi="宋体" w:hint="eastAsia"/>
        </w:rPr>
        <w:t>万元，发起资金提供方承诺持有期限不少于三年的条件下，基金募集期届满或基金管理人依据法律法规及招募说明书可以决定停止基金发售，并在</w:t>
      </w:r>
      <w:r>
        <w:rPr>
          <w:rFonts w:ascii="宋体" w:hAnsi="宋体" w:hint="eastAsia"/>
        </w:rPr>
        <w:t>10</w:t>
      </w:r>
      <w:r>
        <w:rPr>
          <w:rFonts w:ascii="宋体" w:hAnsi="宋体" w:hint="eastAsia"/>
        </w:rPr>
        <w:t>日内聘请法定验资机构验资，自收到验资报告之日起</w:t>
      </w:r>
      <w:r>
        <w:rPr>
          <w:rFonts w:ascii="宋体" w:hAnsi="宋体" w:hint="eastAsia"/>
        </w:rPr>
        <w:t>10</w:t>
      </w:r>
      <w:r>
        <w:rPr>
          <w:rFonts w:ascii="宋体" w:hAnsi="宋体" w:hint="eastAsia"/>
        </w:rPr>
        <w:t>日内，向中国证监会办理基金备案手续。</w:t>
      </w:r>
    </w:p>
    <w:p w:rsidR="00B663DD" w:rsidRDefault="00227883">
      <w:pPr>
        <w:spacing w:line="360" w:lineRule="auto"/>
        <w:ind w:firstLineChars="200" w:firstLine="480"/>
        <w:jc w:val="both"/>
        <w:rPr>
          <w:rFonts w:ascii="宋体" w:hAnsi="宋体"/>
        </w:rPr>
      </w:pPr>
      <w:r>
        <w:rPr>
          <w:rFonts w:ascii="宋体" w:hAnsi="宋体" w:hint="eastAsia"/>
        </w:rPr>
        <w:t>基金募集达到基金备案条件的，自基金管理人办理完毕基金备案</w:t>
      </w:r>
      <w:r>
        <w:rPr>
          <w:rFonts w:ascii="宋体" w:hAnsi="宋体" w:hint="eastAsia"/>
        </w:rPr>
        <w:t>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663DD" w:rsidRDefault="00227883">
      <w:pPr>
        <w:spacing w:line="360" w:lineRule="auto"/>
        <w:ind w:firstLineChars="200" w:firstLine="480"/>
        <w:jc w:val="both"/>
        <w:rPr>
          <w:rFonts w:ascii="宋体" w:hAnsi="宋体"/>
        </w:rPr>
      </w:pPr>
      <w:r>
        <w:rPr>
          <w:rFonts w:ascii="宋体" w:hAnsi="宋体" w:hint="eastAsia"/>
        </w:rPr>
        <w:t>2</w:t>
      </w:r>
      <w:r>
        <w:rPr>
          <w:rFonts w:ascii="宋体" w:hAnsi="宋体" w:hint="eastAsia"/>
        </w:rPr>
        <w:t>、《基金合同》生效时，认购款项在募集期内产生的利息将折合成基金份额归投资者所有。</w:t>
      </w:r>
    </w:p>
    <w:p w:rsidR="00B663DD" w:rsidRDefault="00227883">
      <w:pPr>
        <w:spacing w:line="360" w:lineRule="auto"/>
        <w:ind w:firstLineChars="200" w:firstLine="480"/>
        <w:jc w:val="both"/>
        <w:rPr>
          <w:rFonts w:ascii="宋体" w:hAnsi="宋体"/>
        </w:rPr>
      </w:pPr>
      <w:r>
        <w:rPr>
          <w:rFonts w:ascii="宋体" w:hAnsi="宋体"/>
        </w:rPr>
        <w:t>3</w:t>
      </w:r>
      <w:r>
        <w:rPr>
          <w:rFonts w:ascii="宋体" w:hAnsi="宋体" w:hint="eastAsia"/>
        </w:rPr>
        <w:t>、</w:t>
      </w:r>
      <w:r>
        <w:rPr>
          <w:rFonts w:ascii="宋体" w:hAnsi="宋体"/>
        </w:rPr>
        <w:t>若</w:t>
      </w:r>
      <w:r>
        <w:rPr>
          <w:rFonts w:ascii="宋体" w:hAnsi="宋体" w:hint="eastAsia"/>
        </w:rPr>
        <w:t>《基金合同》不能</w:t>
      </w:r>
      <w:r>
        <w:rPr>
          <w:rFonts w:ascii="宋体" w:hAnsi="宋体"/>
        </w:rPr>
        <w:t>生效时，本基金管理人</w:t>
      </w:r>
      <w:r>
        <w:rPr>
          <w:rFonts w:ascii="宋体" w:hAnsi="宋体" w:hint="eastAsia"/>
        </w:rPr>
        <w:t>以其固有财产承担因募集行为而产生的债务和费用</w:t>
      </w:r>
      <w:r>
        <w:rPr>
          <w:rFonts w:ascii="宋体" w:hAnsi="宋体"/>
        </w:rPr>
        <w:t>，将已募集资金加计银行</w:t>
      </w:r>
      <w:r>
        <w:rPr>
          <w:rFonts w:ascii="宋体" w:hAnsi="宋体" w:hint="eastAsia"/>
        </w:rPr>
        <w:t>同期活期</w:t>
      </w:r>
      <w:r>
        <w:rPr>
          <w:rFonts w:ascii="宋体" w:hAnsi="宋体"/>
        </w:rPr>
        <w:t>存款利息在基金</w:t>
      </w:r>
      <w:r>
        <w:rPr>
          <w:rFonts w:ascii="宋体" w:hAnsi="宋体" w:hint="eastAsia"/>
        </w:rPr>
        <w:t>募集期限届满后</w:t>
      </w:r>
      <w:r>
        <w:rPr>
          <w:rFonts w:ascii="宋体" w:hAnsi="宋体"/>
        </w:rPr>
        <w:t>30</w:t>
      </w:r>
      <w:r>
        <w:rPr>
          <w:rFonts w:ascii="宋体" w:hAnsi="宋体"/>
        </w:rPr>
        <w:t>日内</w:t>
      </w:r>
      <w:r>
        <w:rPr>
          <w:rFonts w:ascii="宋体" w:hAnsi="宋体" w:hint="eastAsia"/>
        </w:rPr>
        <w:t>返还投资者已缴纳的款项</w:t>
      </w:r>
      <w:r>
        <w:rPr>
          <w:rFonts w:ascii="宋体" w:hAnsi="宋体"/>
        </w:rPr>
        <w:t>。</w:t>
      </w:r>
    </w:p>
    <w:p w:rsidR="00B663DD" w:rsidRDefault="00B663DD">
      <w:pPr>
        <w:pStyle w:val="1"/>
        <w:spacing w:before="0" w:after="0" w:line="360" w:lineRule="auto"/>
        <w:ind w:firstLineChars="235" w:firstLine="566"/>
        <w:jc w:val="both"/>
        <w:rPr>
          <w:rFonts w:ascii="宋体" w:hAnsi="宋体"/>
          <w:bCs w:val="0"/>
          <w:kern w:val="0"/>
          <w:sz w:val="24"/>
          <w:szCs w:val="24"/>
        </w:rPr>
      </w:pPr>
      <w:bookmarkStart w:id="5" w:name="_Toc129634155"/>
    </w:p>
    <w:p w:rsidR="00B663DD" w:rsidRDefault="00227883">
      <w:pPr>
        <w:pStyle w:val="1"/>
        <w:spacing w:before="0" w:after="0" w:line="360" w:lineRule="auto"/>
        <w:ind w:firstLineChars="235" w:firstLine="566"/>
        <w:jc w:val="both"/>
        <w:rPr>
          <w:rFonts w:ascii="宋体" w:hAnsi="宋体"/>
          <w:bCs w:val="0"/>
          <w:kern w:val="0"/>
          <w:sz w:val="24"/>
          <w:szCs w:val="24"/>
        </w:rPr>
      </w:pPr>
      <w:r>
        <w:rPr>
          <w:rFonts w:ascii="宋体" w:hAnsi="宋体" w:hint="eastAsia"/>
          <w:bCs w:val="0"/>
          <w:kern w:val="0"/>
          <w:sz w:val="24"/>
          <w:szCs w:val="24"/>
        </w:rPr>
        <w:t>六</w:t>
      </w:r>
      <w:r>
        <w:rPr>
          <w:rFonts w:ascii="宋体" w:hAnsi="宋体"/>
          <w:bCs w:val="0"/>
          <w:kern w:val="0"/>
          <w:sz w:val="24"/>
          <w:szCs w:val="24"/>
        </w:rPr>
        <w:t>、</w:t>
      </w:r>
      <w:r>
        <w:rPr>
          <w:rFonts w:ascii="宋体" w:hAnsi="宋体" w:hint="eastAsia"/>
          <w:bCs w:val="0"/>
          <w:kern w:val="0"/>
          <w:sz w:val="24"/>
          <w:szCs w:val="24"/>
        </w:rPr>
        <w:t>本基金募集的</w:t>
      </w:r>
      <w:r>
        <w:rPr>
          <w:rFonts w:ascii="宋体" w:hAnsi="宋体"/>
          <w:bCs w:val="0"/>
          <w:kern w:val="0"/>
          <w:sz w:val="24"/>
          <w:szCs w:val="24"/>
        </w:rPr>
        <w:t>当事人和中介机构</w:t>
      </w:r>
      <w:bookmarkEnd w:id="5"/>
    </w:p>
    <w:p w:rsidR="00B663DD" w:rsidRDefault="00227883">
      <w:pPr>
        <w:spacing w:line="360" w:lineRule="auto"/>
        <w:ind w:firstLineChars="200" w:firstLine="480"/>
        <w:jc w:val="both"/>
        <w:rPr>
          <w:rFonts w:ascii="宋体" w:hAnsi="宋体"/>
          <w:color w:val="000000"/>
        </w:rPr>
      </w:pPr>
      <w:r>
        <w:rPr>
          <w:rFonts w:ascii="宋体" w:hAnsi="宋体"/>
        </w:rPr>
        <w:t>（一）基金管理人</w:t>
      </w:r>
    </w:p>
    <w:p w:rsidR="00B663DD" w:rsidRDefault="00227883">
      <w:pPr>
        <w:spacing w:line="360" w:lineRule="auto"/>
        <w:ind w:firstLineChars="200" w:firstLine="480"/>
        <w:jc w:val="both"/>
        <w:rPr>
          <w:rFonts w:ascii="宋体" w:hAnsi="宋体"/>
          <w:b/>
          <w:color w:val="000000"/>
        </w:rPr>
      </w:pPr>
      <w:r>
        <w:rPr>
          <w:rFonts w:ascii="宋体" w:hAnsi="宋体" w:hint="eastAsia"/>
          <w:color w:val="000000"/>
        </w:rPr>
        <w:t>名称：天弘基金管理有限公司</w:t>
      </w:r>
    </w:p>
    <w:p w:rsidR="00B663DD" w:rsidRDefault="00227883">
      <w:pPr>
        <w:spacing w:line="360" w:lineRule="auto"/>
        <w:ind w:firstLineChars="200" w:firstLine="480"/>
        <w:rPr>
          <w:rFonts w:ascii="宋体" w:hAnsi="宋体"/>
          <w:b/>
          <w:color w:val="000000"/>
        </w:rPr>
      </w:pPr>
      <w:r>
        <w:rPr>
          <w:rFonts w:ascii="宋体" w:hAnsi="宋体"/>
          <w:color w:val="000000"/>
        </w:rPr>
        <w:t>注册地址</w:t>
      </w:r>
      <w:r>
        <w:rPr>
          <w:rFonts w:ascii="宋体" w:hAnsi="宋体" w:hint="eastAsia"/>
          <w:color w:val="000000"/>
        </w:rPr>
        <w:t>：</w:t>
      </w:r>
      <w:r>
        <w:rPr>
          <w:rFonts w:ascii="宋体" w:hAnsi="宋体" w:hint="eastAsia"/>
          <w:bCs/>
        </w:rPr>
        <w:t>天津自贸试验区（中心商务区）新华路</w:t>
      </w:r>
      <w:r>
        <w:rPr>
          <w:rFonts w:ascii="宋体" w:hAnsi="宋体" w:hint="eastAsia"/>
          <w:bCs/>
        </w:rPr>
        <w:t>3678</w:t>
      </w:r>
      <w:r>
        <w:rPr>
          <w:rFonts w:ascii="宋体" w:hAnsi="宋体" w:hint="eastAsia"/>
          <w:bCs/>
        </w:rPr>
        <w:t>号宝风大厦</w:t>
      </w:r>
      <w:r>
        <w:rPr>
          <w:rFonts w:ascii="宋体" w:hAnsi="宋体" w:hint="eastAsia"/>
          <w:bCs/>
        </w:rPr>
        <w:t>23</w:t>
      </w:r>
      <w:r>
        <w:rPr>
          <w:rFonts w:ascii="宋体" w:hAnsi="宋体" w:hint="eastAsia"/>
          <w:bCs/>
        </w:rPr>
        <w:t>层</w:t>
      </w:r>
    </w:p>
    <w:p w:rsidR="00B663DD" w:rsidRDefault="00227883">
      <w:pPr>
        <w:spacing w:line="360" w:lineRule="auto"/>
        <w:ind w:firstLineChars="200" w:firstLine="480"/>
        <w:rPr>
          <w:rFonts w:ascii="宋体" w:hAnsi="宋体"/>
          <w:color w:val="000000"/>
        </w:rPr>
      </w:pPr>
      <w:r>
        <w:rPr>
          <w:rFonts w:ascii="宋体" w:hAnsi="宋体" w:hint="eastAsia"/>
          <w:color w:val="000000"/>
        </w:rPr>
        <w:t>办公地址：天津市河西区马场道</w:t>
      </w:r>
      <w:r>
        <w:rPr>
          <w:rFonts w:ascii="宋体" w:hAnsi="宋体" w:hint="eastAsia"/>
          <w:color w:val="000000"/>
        </w:rPr>
        <w:t>59</w:t>
      </w:r>
      <w:r>
        <w:rPr>
          <w:rFonts w:ascii="宋体" w:hAnsi="宋体" w:hint="eastAsia"/>
          <w:color w:val="000000"/>
        </w:rPr>
        <w:t>号天津国际经济贸易中心</w:t>
      </w:r>
      <w:r>
        <w:rPr>
          <w:rFonts w:ascii="宋体" w:hAnsi="宋体" w:hint="eastAsia"/>
          <w:color w:val="000000"/>
        </w:rPr>
        <w:t>A</w:t>
      </w:r>
      <w:r>
        <w:rPr>
          <w:rFonts w:ascii="宋体" w:hAnsi="宋体" w:hint="eastAsia"/>
          <w:color w:val="000000"/>
        </w:rPr>
        <w:t>座</w:t>
      </w:r>
      <w:r>
        <w:rPr>
          <w:rFonts w:ascii="宋体" w:hAnsi="宋体" w:hint="eastAsia"/>
          <w:color w:val="000000"/>
        </w:rPr>
        <w:t>16</w:t>
      </w:r>
      <w:r>
        <w:rPr>
          <w:rFonts w:ascii="宋体" w:hAnsi="宋体" w:hint="eastAsia"/>
          <w:color w:val="000000"/>
        </w:rPr>
        <w:t>层</w:t>
      </w:r>
    </w:p>
    <w:p w:rsidR="00B663DD" w:rsidRDefault="00227883">
      <w:pPr>
        <w:spacing w:line="360" w:lineRule="auto"/>
        <w:ind w:firstLineChars="200" w:firstLine="480"/>
        <w:rPr>
          <w:rFonts w:ascii="宋体" w:hAnsi="宋体"/>
          <w:b/>
          <w:color w:val="000000"/>
        </w:rPr>
      </w:pPr>
      <w:r>
        <w:rPr>
          <w:rFonts w:ascii="宋体" w:hAnsi="宋体" w:hint="eastAsia"/>
          <w:color w:val="000000"/>
        </w:rPr>
        <w:t>成立日期：</w:t>
      </w:r>
      <w:r>
        <w:rPr>
          <w:rFonts w:ascii="宋体" w:hAnsi="宋体" w:hint="eastAsia"/>
          <w:color w:val="000000"/>
        </w:rPr>
        <w:t>2004</w:t>
      </w:r>
      <w:r>
        <w:rPr>
          <w:rFonts w:ascii="宋体" w:hAnsi="宋体" w:hint="eastAsia"/>
          <w:color w:val="000000"/>
        </w:rPr>
        <w:t>年</w:t>
      </w:r>
      <w:r>
        <w:rPr>
          <w:rFonts w:ascii="宋体" w:hAnsi="宋体" w:hint="eastAsia"/>
          <w:color w:val="000000"/>
        </w:rPr>
        <w:t>11</w:t>
      </w:r>
      <w:r>
        <w:rPr>
          <w:rFonts w:ascii="宋体" w:hAnsi="宋体" w:hint="eastAsia"/>
          <w:color w:val="000000"/>
        </w:rPr>
        <w:t>月</w:t>
      </w:r>
      <w:r>
        <w:rPr>
          <w:rFonts w:ascii="宋体" w:hAnsi="宋体" w:hint="eastAsia"/>
          <w:color w:val="000000"/>
        </w:rPr>
        <w:t>8</w:t>
      </w:r>
      <w:r>
        <w:rPr>
          <w:rFonts w:ascii="宋体" w:hAnsi="宋体" w:hint="eastAsia"/>
          <w:color w:val="000000"/>
        </w:rPr>
        <w:t>日</w:t>
      </w:r>
    </w:p>
    <w:p w:rsidR="00B663DD" w:rsidRDefault="00227883">
      <w:pPr>
        <w:spacing w:line="360" w:lineRule="auto"/>
        <w:ind w:firstLineChars="200" w:firstLine="480"/>
        <w:rPr>
          <w:rFonts w:ascii="宋体" w:hAnsi="宋体"/>
        </w:rPr>
      </w:pPr>
      <w:r>
        <w:rPr>
          <w:rFonts w:ascii="宋体" w:hAnsi="宋体" w:hint="eastAsia"/>
        </w:rPr>
        <w:t>法定代表人：韩歆毅</w:t>
      </w:r>
    </w:p>
    <w:p w:rsidR="00B663DD" w:rsidRDefault="00227883">
      <w:pPr>
        <w:spacing w:line="360" w:lineRule="auto"/>
        <w:ind w:firstLineChars="200" w:firstLine="480"/>
        <w:rPr>
          <w:rFonts w:ascii="宋体" w:hAnsi="宋体"/>
        </w:rPr>
      </w:pPr>
      <w:r>
        <w:rPr>
          <w:rFonts w:hint="eastAsia"/>
          <w:color w:val="000000"/>
        </w:rPr>
        <w:t>客服</w:t>
      </w:r>
      <w:r>
        <w:rPr>
          <w:color w:val="000000"/>
        </w:rPr>
        <w:t>电话：</w:t>
      </w:r>
      <w:r>
        <w:rPr>
          <w:rFonts w:ascii="宋体" w:hAnsi="宋体" w:hint="eastAsia"/>
        </w:rPr>
        <w:t>9</w:t>
      </w:r>
      <w:r>
        <w:rPr>
          <w:rFonts w:ascii="宋体" w:hAnsi="宋体"/>
        </w:rPr>
        <w:t>5046</w:t>
      </w:r>
    </w:p>
    <w:p w:rsidR="00B663DD" w:rsidRDefault="00227883">
      <w:pPr>
        <w:spacing w:line="360" w:lineRule="auto"/>
        <w:ind w:firstLineChars="200" w:firstLine="480"/>
        <w:jc w:val="both"/>
        <w:rPr>
          <w:rFonts w:ascii="宋体" w:hAnsi="宋体"/>
        </w:rPr>
      </w:pPr>
      <w:r>
        <w:rPr>
          <w:rFonts w:ascii="宋体" w:hAnsi="宋体"/>
        </w:rPr>
        <w:t>（</w:t>
      </w:r>
      <w:r>
        <w:rPr>
          <w:rFonts w:ascii="宋体" w:hAnsi="宋体" w:hint="eastAsia"/>
        </w:rPr>
        <w:t>二</w:t>
      </w:r>
      <w:r>
        <w:rPr>
          <w:rFonts w:ascii="宋体" w:hAnsi="宋体"/>
        </w:rPr>
        <w:t>）基金托管人</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名称：平安银行股份有限公司</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注册住所：广东省深圳市罗湖区深南东路</w:t>
      </w:r>
      <w:r>
        <w:rPr>
          <w:rFonts w:ascii="宋体" w:hAnsi="宋体" w:cs="宋体-WinCharSetFFFF-H" w:hint="eastAsia"/>
        </w:rPr>
        <w:t>5047</w:t>
      </w:r>
      <w:r>
        <w:rPr>
          <w:rFonts w:ascii="宋体" w:hAnsi="宋体" w:cs="宋体-WinCharSetFFFF-H" w:hint="eastAsia"/>
        </w:rPr>
        <w:t>号</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办公地址：广东省深圳市福田区益田路</w:t>
      </w:r>
      <w:r>
        <w:rPr>
          <w:rFonts w:ascii="宋体" w:hAnsi="宋体" w:cs="宋体-WinCharSetFFFF-H" w:hint="eastAsia"/>
        </w:rPr>
        <w:t>5023</w:t>
      </w:r>
      <w:r>
        <w:rPr>
          <w:rFonts w:ascii="宋体" w:hAnsi="宋体" w:cs="宋体-WinCharSetFFFF-H" w:hint="eastAsia"/>
        </w:rPr>
        <w:t>号平安金融中心</w:t>
      </w:r>
      <w:r>
        <w:rPr>
          <w:rFonts w:ascii="宋体" w:hAnsi="宋体" w:cs="宋体-WinCharSetFFFF-H" w:hint="eastAsia"/>
        </w:rPr>
        <w:t>B</w:t>
      </w:r>
      <w:r>
        <w:rPr>
          <w:rFonts w:ascii="宋体" w:hAnsi="宋体" w:cs="宋体-WinCharSetFFFF-H" w:hint="eastAsia"/>
        </w:rPr>
        <w:t>座</w:t>
      </w:r>
      <w:r>
        <w:rPr>
          <w:rFonts w:ascii="宋体" w:hAnsi="宋体" w:cs="宋体-WinCharSetFFFF-H" w:hint="eastAsia"/>
        </w:rPr>
        <w:t>26</w:t>
      </w:r>
      <w:r>
        <w:rPr>
          <w:rFonts w:ascii="宋体" w:hAnsi="宋体" w:cs="宋体-WinCharSetFFFF-H" w:hint="eastAsia"/>
        </w:rPr>
        <w:t>楼</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法定代表人：谢永林</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成立日期：</w:t>
      </w:r>
      <w:r>
        <w:rPr>
          <w:rFonts w:ascii="宋体" w:hAnsi="宋体" w:cs="宋体-WinCharSetFFFF-H" w:hint="eastAsia"/>
        </w:rPr>
        <w:t>1987</w:t>
      </w:r>
      <w:r>
        <w:rPr>
          <w:rFonts w:ascii="宋体" w:hAnsi="宋体" w:cs="宋体-WinCharSetFFFF-H" w:hint="eastAsia"/>
        </w:rPr>
        <w:t>年</w:t>
      </w:r>
      <w:r>
        <w:rPr>
          <w:rFonts w:ascii="宋体" w:hAnsi="宋体" w:cs="宋体-WinCharSetFFFF-H" w:hint="eastAsia"/>
        </w:rPr>
        <w:t>12</w:t>
      </w:r>
      <w:r>
        <w:rPr>
          <w:rFonts w:ascii="宋体" w:hAnsi="宋体" w:cs="宋体-WinCharSetFFFF-H" w:hint="eastAsia"/>
        </w:rPr>
        <w:t>月</w:t>
      </w:r>
      <w:r>
        <w:rPr>
          <w:rFonts w:ascii="宋体" w:hAnsi="宋体" w:cs="宋体-WinCharSetFFFF-H" w:hint="eastAsia"/>
        </w:rPr>
        <w:t>22</w:t>
      </w:r>
      <w:r>
        <w:rPr>
          <w:rFonts w:ascii="宋体" w:hAnsi="宋体" w:cs="宋体-WinCharSetFFFF-H" w:hint="eastAsia"/>
        </w:rPr>
        <w:t>日</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联系人：黄然然</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联系电话：</w:t>
      </w:r>
      <w:r>
        <w:rPr>
          <w:rFonts w:ascii="宋体" w:hAnsi="宋体" w:cs="宋体-WinCharSetFFFF-H" w:hint="eastAsia"/>
        </w:rPr>
        <w:t>0755-25879876</w:t>
      </w:r>
    </w:p>
    <w:p w:rsidR="00B663DD" w:rsidRDefault="00227883">
      <w:pPr>
        <w:spacing w:line="360" w:lineRule="auto"/>
        <w:ind w:firstLineChars="235" w:firstLine="564"/>
        <w:jc w:val="both"/>
        <w:rPr>
          <w:rFonts w:ascii="宋体" w:hAnsi="宋体"/>
        </w:rPr>
      </w:pPr>
      <w:r>
        <w:rPr>
          <w:rFonts w:ascii="宋体" w:hAnsi="宋体"/>
        </w:rPr>
        <w:t>（</w:t>
      </w:r>
      <w:r>
        <w:rPr>
          <w:rFonts w:ascii="宋体" w:hAnsi="宋体" w:hint="eastAsia"/>
        </w:rPr>
        <w:t>三</w:t>
      </w:r>
      <w:r>
        <w:rPr>
          <w:rFonts w:ascii="宋体" w:hAnsi="宋体"/>
        </w:rPr>
        <w:t>）</w:t>
      </w:r>
      <w:r>
        <w:rPr>
          <w:rFonts w:ascii="宋体" w:hAnsi="宋体" w:hint="eastAsia"/>
        </w:rPr>
        <w:t>本基金的销售</w:t>
      </w:r>
      <w:r>
        <w:rPr>
          <w:rFonts w:ascii="宋体" w:hAnsi="宋体"/>
        </w:rPr>
        <w:t>机构</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1</w:t>
      </w:r>
      <w:r>
        <w:rPr>
          <w:rFonts w:ascii="宋体" w:hAnsi="宋体" w:cs="宋体-WinCharSetFFFF-H" w:hint="eastAsia"/>
        </w:rPr>
        <w:t>、直销机构：</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w:t>
      </w:r>
      <w:r>
        <w:rPr>
          <w:rFonts w:ascii="宋体" w:hAnsi="宋体" w:cs="宋体-WinCharSetFFFF-H"/>
        </w:rPr>
        <w:t>1</w:t>
      </w:r>
      <w:r>
        <w:rPr>
          <w:rFonts w:ascii="宋体" w:hAnsi="宋体" w:cs="宋体-WinCharSetFFFF-H" w:hint="eastAsia"/>
        </w:rPr>
        <w:t>）天弘基金管理有限公司直销中心</w:t>
      </w:r>
      <w:r>
        <w:rPr>
          <w:rFonts w:ascii="宋体" w:hAnsi="宋体" w:cs="宋体-WinCharSetFFFF-H"/>
        </w:rPr>
        <w:t xml:space="preserve"> </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住所：天津自贸试验区（中心商务区）新华路</w:t>
      </w:r>
      <w:r>
        <w:rPr>
          <w:rFonts w:ascii="宋体" w:hAnsi="宋体" w:cs="宋体-WinCharSetFFFF-H" w:hint="eastAsia"/>
        </w:rPr>
        <w:t>3678</w:t>
      </w:r>
      <w:r>
        <w:rPr>
          <w:rFonts w:ascii="宋体" w:hAnsi="宋体" w:cs="宋体-WinCharSetFFFF-H" w:hint="eastAsia"/>
        </w:rPr>
        <w:t>号宝风大厦</w:t>
      </w:r>
      <w:r>
        <w:rPr>
          <w:rFonts w:ascii="宋体" w:hAnsi="宋体" w:cs="宋体-WinCharSetFFFF-H" w:hint="eastAsia"/>
        </w:rPr>
        <w:t>23</w:t>
      </w:r>
      <w:r>
        <w:rPr>
          <w:rFonts w:ascii="宋体" w:hAnsi="宋体" w:cs="宋体-WinCharSetFFFF-H" w:hint="eastAsia"/>
        </w:rPr>
        <w:t>层</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办公地址：天津市河西区马场道</w:t>
      </w:r>
      <w:r>
        <w:rPr>
          <w:rFonts w:ascii="宋体" w:hAnsi="宋体" w:cs="宋体-WinCharSetFFFF-H"/>
        </w:rPr>
        <w:t>59</w:t>
      </w:r>
      <w:r>
        <w:rPr>
          <w:rFonts w:ascii="宋体" w:hAnsi="宋体" w:cs="宋体-WinCharSetFFFF-H" w:hint="eastAsia"/>
        </w:rPr>
        <w:t>号天津国际经济贸易中心</w:t>
      </w:r>
      <w:r>
        <w:rPr>
          <w:rFonts w:ascii="宋体" w:hAnsi="宋体" w:cs="宋体-WinCharSetFFFF-H"/>
        </w:rPr>
        <w:t>A</w:t>
      </w:r>
      <w:r>
        <w:rPr>
          <w:rFonts w:ascii="宋体" w:hAnsi="宋体" w:cs="宋体-WinCharSetFFFF-H" w:hint="eastAsia"/>
        </w:rPr>
        <w:t>座</w:t>
      </w:r>
      <w:r>
        <w:rPr>
          <w:rFonts w:ascii="宋体" w:hAnsi="宋体" w:cs="宋体-WinCharSetFFFF-H"/>
        </w:rPr>
        <w:t>16</w:t>
      </w:r>
      <w:r>
        <w:rPr>
          <w:rFonts w:ascii="宋体" w:hAnsi="宋体" w:cs="宋体-WinCharSetFFFF-H" w:hint="eastAsia"/>
        </w:rPr>
        <w:t>层</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法定代表人：</w:t>
      </w:r>
      <w:r>
        <w:rPr>
          <w:rFonts w:ascii="宋体" w:hAnsi="宋体" w:hint="eastAsia"/>
          <w:bCs/>
        </w:rPr>
        <w:t>韩歆毅</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电话：（</w:t>
      </w:r>
      <w:r>
        <w:rPr>
          <w:rFonts w:ascii="宋体" w:hAnsi="宋体" w:cs="宋体-WinCharSetFFFF-H"/>
        </w:rPr>
        <w:t>022</w:t>
      </w:r>
      <w:r>
        <w:rPr>
          <w:rFonts w:ascii="宋体" w:hAnsi="宋体" w:cs="宋体-WinCharSetFFFF-H" w:hint="eastAsia"/>
        </w:rPr>
        <w:t>）</w:t>
      </w:r>
      <w:r>
        <w:rPr>
          <w:rFonts w:ascii="宋体" w:hAnsi="宋体" w:cs="宋体-WinCharSetFFFF-H"/>
        </w:rPr>
        <w:t>83865560</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传真：（</w:t>
      </w:r>
      <w:r>
        <w:rPr>
          <w:rFonts w:ascii="宋体" w:hAnsi="宋体" w:cs="宋体-WinCharSetFFFF-H"/>
        </w:rPr>
        <w:t>022</w:t>
      </w:r>
      <w:r>
        <w:rPr>
          <w:rFonts w:ascii="宋体" w:hAnsi="宋体" w:cs="宋体-WinCharSetFFFF-H" w:hint="eastAsia"/>
        </w:rPr>
        <w:t>）</w:t>
      </w:r>
      <w:r>
        <w:rPr>
          <w:rFonts w:ascii="宋体" w:hAnsi="宋体" w:cs="宋体-WinCharSetFFFF-H"/>
        </w:rPr>
        <w:t>83865564</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联系人：司媛</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客服电话：</w:t>
      </w:r>
      <w:r>
        <w:rPr>
          <w:rFonts w:ascii="宋体" w:hAnsi="宋体" w:cs="宋体-WinCharSetFFFF-H"/>
        </w:rPr>
        <w:t>95046</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w:t>
      </w:r>
      <w:r>
        <w:rPr>
          <w:rFonts w:ascii="宋体" w:hAnsi="宋体" w:cs="宋体-WinCharSetFFFF-H" w:hint="eastAsia"/>
        </w:rPr>
        <w:t>2</w:t>
      </w:r>
      <w:r>
        <w:rPr>
          <w:rFonts w:ascii="宋体" w:hAnsi="宋体" w:cs="宋体-WinCharSetFFFF-H" w:hint="eastAsia"/>
        </w:rPr>
        <w:t>）天弘基金管理有限公司网上直销系统</w:t>
      </w:r>
    </w:p>
    <w:p w:rsidR="00B663DD" w:rsidRDefault="00227883">
      <w:pPr>
        <w:spacing w:line="360" w:lineRule="auto"/>
        <w:ind w:firstLineChars="200" w:firstLine="480"/>
        <w:jc w:val="both"/>
        <w:rPr>
          <w:rFonts w:ascii="宋体" w:hAnsi="宋体" w:cs="宋体-WinCharSetFFFF-H"/>
        </w:rPr>
      </w:pPr>
      <w:r>
        <w:rPr>
          <w:rFonts w:ascii="宋体" w:hAnsi="宋体" w:cs="宋体-WinCharSetFFFF-H" w:hint="eastAsia"/>
        </w:rPr>
        <w:t>客服电话：</w:t>
      </w:r>
      <w:r>
        <w:rPr>
          <w:rFonts w:ascii="宋体" w:hAnsi="宋体" w:cs="宋体-WinCharSetFFFF-H"/>
        </w:rPr>
        <w:t>95046</w:t>
      </w:r>
    </w:p>
    <w:p w:rsidR="00B663DD" w:rsidRDefault="00227883">
      <w:pPr>
        <w:spacing w:line="360" w:lineRule="auto"/>
        <w:ind w:firstLineChars="196" w:firstLine="470"/>
        <w:jc w:val="both"/>
        <w:rPr>
          <w:rFonts w:ascii="宋体" w:hAnsi="宋体"/>
          <w:color w:val="000000"/>
        </w:rPr>
      </w:pPr>
      <w:r>
        <w:rPr>
          <w:rFonts w:ascii="宋体" w:hAnsi="宋体" w:hint="eastAsia"/>
          <w:color w:val="000000"/>
        </w:rPr>
        <w:t>2</w:t>
      </w:r>
      <w:r>
        <w:rPr>
          <w:rFonts w:ascii="宋体" w:hAnsi="宋体" w:hint="eastAsia"/>
          <w:color w:val="000000"/>
        </w:rPr>
        <w:t>、其他销售机构</w:t>
      </w:r>
    </w:p>
    <w:p w:rsidR="00B663DD" w:rsidRDefault="00227883">
      <w:pPr>
        <w:spacing w:line="360" w:lineRule="auto"/>
        <w:jc w:val="both"/>
        <w:rPr>
          <w:rFonts w:ascii="宋体" w:hAnsi="宋体"/>
          <w:color w:val="000000"/>
        </w:rPr>
      </w:pPr>
      <w:r>
        <w:rPr>
          <w:rFonts w:ascii="宋体" w:hAnsi="宋体" w:hint="eastAsia"/>
          <w:color w:val="000000"/>
        </w:rPr>
        <w:t xml:space="preserve"> </w:t>
      </w:r>
      <w:r>
        <w:rPr>
          <w:rFonts w:ascii="宋体" w:hAnsi="宋体"/>
          <w:color w:val="000000"/>
        </w:rPr>
        <w:t xml:space="preserve">   </w:t>
      </w:r>
      <w:r>
        <w:rPr>
          <w:rFonts w:ascii="宋体" w:hAnsi="宋体" w:hint="eastAsia"/>
          <w:color w:val="000000"/>
        </w:rPr>
        <w:t>投资者可在本基金发售期登录基金管理人网站查询销售机构信息。</w:t>
      </w:r>
    </w:p>
    <w:p w:rsidR="00B663DD" w:rsidRDefault="00227883">
      <w:pPr>
        <w:spacing w:line="360" w:lineRule="auto"/>
        <w:ind w:firstLineChars="200" w:firstLine="480"/>
        <w:jc w:val="both"/>
        <w:rPr>
          <w:rFonts w:ascii="宋体" w:hAnsi="宋体" w:cs="宋体-WinCharSetFFFF-H"/>
          <w:color w:val="000000"/>
        </w:rPr>
      </w:pPr>
      <w:r>
        <w:rPr>
          <w:rFonts w:ascii="宋体" w:hAnsi="宋体" w:hint="eastAsia"/>
          <w:color w:val="000000"/>
        </w:rPr>
        <w:t>基金管理人可根据有关法律法规的要求，选择其他符合要求的机构调整为本基金的销售机构，并在基金管理人网站公示。</w:t>
      </w:r>
    </w:p>
    <w:p w:rsidR="00B663DD" w:rsidRDefault="00227883">
      <w:pPr>
        <w:spacing w:line="360" w:lineRule="auto"/>
        <w:ind w:firstLineChars="200" w:firstLine="480"/>
      </w:pPr>
      <w:r>
        <w:t>（四）注册登记机构</w:t>
      </w:r>
      <w:r>
        <w:t xml:space="preserve"> </w:t>
      </w:r>
    </w:p>
    <w:p w:rsidR="00B663DD" w:rsidRDefault="00227883">
      <w:pPr>
        <w:spacing w:line="360" w:lineRule="auto"/>
        <w:ind w:firstLineChars="200" w:firstLine="480"/>
      </w:pPr>
      <w:r>
        <w:t>名称：天弘基金管理有限公司</w:t>
      </w:r>
      <w:r>
        <w:t xml:space="preserve"> </w:t>
      </w:r>
    </w:p>
    <w:p w:rsidR="00B663DD" w:rsidRDefault="00227883">
      <w:pPr>
        <w:spacing w:line="360" w:lineRule="auto"/>
        <w:ind w:firstLineChars="200" w:firstLine="480"/>
      </w:pPr>
      <w:r>
        <w:t>住所：</w:t>
      </w:r>
      <w:r>
        <w:rPr>
          <w:rFonts w:hint="eastAsia"/>
        </w:rPr>
        <w:t>天津自贸试验区（中心商务区）新华路</w:t>
      </w:r>
      <w:r>
        <w:rPr>
          <w:rFonts w:hint="eastAsia"/>
        </w:rPr>
        <w:t>3678</w:t>
      </w:r>
      <w:r>
        <w:rPr>
          <w:rFonts w:hint="eastAsia"/>
        </w:rPr>
        <w:t>号宝风大厦</w:t>
      </w:r>
      <w:r>
        <w:rPr>
          <w:rFonts w:hint="eastAsia"/>
        </w:rPr>
        <w:t>23</w:t>
      </w:r>
      <w:r>
        <w:rPr>
          <w:rFonts w:hint="eastAsia"/>
        </w:rPr>
        <w:t>层</w:t>
      </w:r>
    </w:p>
    <w:p w:rsidR="00B663DD" w:rsidRDefault="00227883">
      <w:pPr>
        <w:spacing w:line="360" w:lineRule="auto"/>
        <w:ind w:firstLineChars="200" w:firstLine="480"/>
      </w:pPr>
      <w:r>
        <w:t>办公地址：天津市河西区马场道</w:t>
      </w:r>
      <w:r>
        <w:t>59</w:t>
      </w:r>
      <w:r>
        <w:t>号天津国际经济贸易中心</w:t>
      </w:r>
      <w:r>
        <w:t>A</w:t>
      </w:r>
      <w:r>
        <w:t>座</w:t>
      </w:r>
      <w:r>
        <w:t>16</w:t>
      </w:r>
      <w:r>
        <w:t>层</w:t>
      </w:r>
      <w:r>
        <w:t xml:space="preserve"> </w:t>
      </w:r>
    </w:p>
    <w:p w:rsidR="00B663DD" w:rsidRDefault="00227883">
      <w:pPr>
        <w:spacing w:line="360" w:lineRule="auto"/>
        <w:ind w:firstLineChars="200" w:firstLine="480"/>
      </w:pPr>
      <w:r>
        <w:t>法定代表人：</w:t>
      </w:r>
      <w:r>
        <w:rPr>
          <w:rFonts w:hint="eastAsia"/>
        </w:rPr>
        <w:t>韩歆毅</w:t>
      </w:r>
    </w:p>
    <w:p w:rsidR="00B663DD" w:rsidRDefault="00227883">
      <w:pPr>
        <w:spacing w:line="360" w:lineRule="auto"/>
        <w:ind w:firstLineChars="200" w:firstLine="480"/>
      </w:pPr>
      <w:r>
        <w:t>电话：（</w:t>
      </w:r>
      <w:r>
        <w:t>022</w:t>
      </w:r>
      <w:r>
        <w:t>）</w:t>
      </w:r>
      <w:r>
        <w:t xml:space="preserve">83865560 </w:t>
      </w:r>
    </w:p>
    <w:p w:rsidR="00B663DD" w:rsidRDefault="00227883">
      <w:pPr>
        <w:spacing w:line="360" w:lineRule="auto"/>
        <w:ind w:firstLineChars="200" w:firstLine="480"/>
      </w:pPr>
      <w:r>
        <w:t>传真：（</w:t>
      </w:r>
      <w:r>
        <w:t>022</w:t>
      </w:r>
      <w:r>
        <w:t>）</w:t>
      </w:r>
      <w:r>
        <w:t xml:space="preserve">83865564 </w:t>
      </w:r>
    </w:p>
    <w:p w:rsidR="00B663DD" w:rsidRDefault="00227883">
      <w:pPr>
        <w:spacing w:line="360" w:lineRule="auto"/>
        <w:ind w:firstLineChars="200" w:firstLine="480"/>
        <w:rPr>
          <w:rFonts w:ascii="宋体" w:hAnsi="宋体" w:cs="宋体-WinCharSetFFFF-H"/>
          <w:color w:val="000000"/>
        </w:rPr>
      </w:pPr>
      <w:r>
        <w:t>联系人：薄贺龙</w:t>
      </w:r>
    </w:p>
    <w:p w:rsidR="00B663DD" w:rsidRDefault="00227883">
      <w:pPr>
        <w:spacing w:line="360" w:lineRule="auto"/>
        <w:ind w:firstLineChars="200" w:firstLine="480"/>
        <w:jc w:val="both"/>
        <w:rPr>
          <w:rFonts w:ascii="宋体" w:hAnsi="宋体"/>
        </w:rPr>
      </w:pPr>
      <w:r>
        <w:rPr>
          <w:rFonts w:ascii="宋体" w:hAnsi="宋体"/>
        </w:rPr>
        <w:t>（</w:t>
      </w:r>
      <w:r>
        <w:rPr>
          <w:rFonts w:ascii="宋体" w:hAnsi="宋体" w:hint="eastAsia"/>
        </w:rPr>
        <w:t>五</w:t>
      </w:r>
      <w:r>
        <w:rPr>
          <w:rFonts w:ascii="宋体" w:hAnsi="宋体"/>
        </w:rPr>
        <w:t>）律师事务所</w:t>
      </w:r>
    </w:p>
    <w:p w:rsidR="00B663DD" w:rsidRDefault="00227883">
      <w:pPr>
        <w:spacing w:line="360" w:lineRule="auto"/>
        <w:ind w:firstLineChars="200" w:firstLine="480"/>
        <w:rPr>
          <w:rFonts w:ascii="宋体" w:hAnsi="宋体"/>
          <w:color w:val="000000"/>
        </w:rPr>
      </w:pPr>
      <w:r>
        <w:rPr>
          <w:rFonts w:ascii="宋体" w:hAnsi="宋体" w:hint="eastAsia"/>
          <w:color w:val="000000"/>
        </w:rPr>
        <w:t>名称：上海市通力律师事务所</w:t>
      </w:r>
    </w:p>
    <w:p w:rsidR="00B663DD" w:rsidRDefault="00227883">
      <w:pPr>
        <w:spacing w:line="360" w:lineRule="auto"/>
        <w:ind w:firstLineChars="200" w:firstLine="480"/>
        <w:rPr>
          <w:rFonts w:ascii="宋体" w:hAnsi="宋体"/>
          <w:color w:val="000000"/>
        </w:rPr>
      </w:pPr>
      <w:r>
        <w:rPr>
          <w:rFonts w:ascii="宋体" w:hAnsi="宋体" w:hint="eastAsia"/>
          <w:color w:val="000000"/>
        </w:rPr>
        <w:t>住所</w:t>
      </w:r>
      <w:r>
        <w:rPr>
          <w:rFonts w:ascii="宋体" w:hAnsi="宋体" w:hint="eastAsia"/>
          <w:color w:val="000000"/>
        </w:rPr>
        <w:t>：上海市银城中路</w:t>
      </w:r>
      <w:r>
        <w:rPr>
          <w:rFonts w:ascii="宋体" w:hAnsi="宋体" w:hint="eastAsia"/>
          <w:color w:val="000000"/>
        </w:rPr>
        <w:t>68</w:t>
      </w:r>
      <w:r>
        <w:rPr>
          <w:rFonts w:ascii="宋体" w:hAnsi="宋体" w:hint="eastAsia"/>
          <w:color w:val="000000"/>
        </w:rPr>
        <w:t>号时代金融中心</w:t>
      </w:r>
      <w:r>
        <w:rPr>
          <w:rFonts w:ascii="宋体" w:hAnsi="宋体" w:hint="eastAsia"/>
          <w:color w:val="000000"/>
        </w:rPr>
        <w:t>19</w:t>
      </w:r>
      <w:r>
        <w:rPr>
          <w:rFonts w:ascii="宋体" w:hAnsi="宋体" w:hint="eastAsia"/>
          <w:color w:val="000000"/>
        </w:rPr>
        <w:t>楼</w:t>
      </w:r>
    </w:p>
    <w:p w:rsidR="00B663DD" w:rsidRDefault="00227883">
      <w:pPr>
        <w:spacing w:line="360" w:lineRule="auto"/>
        <w:ind w:firstLineChars="200" w:firstLine="480"/>
        <w:rPr>
          <w:rFonts w:ascii="宋体" w:hAnsi="宋体"/>
          <w:color w:val="000000"/>
        </w:rPr>
      </w:pPr>
      <w:r>
        <w:rPr>
          <w:rFonts w:ascii="宋体" w:hAnsi="宋体" w:hint="eastAsia"/>
          <w:color w:val="000000"/>
        </w:rPr>
        <w:t>办公地址：上海市银城中路</w:t>
      </w:r>
      <w:r>
        <w:rPr>
          <w:rFonts w:ascii="宋体" w:hAnsi="宋体" w:hint="eastAsia"/>
          <w:color w:val="000000"/>
        </w:rPr>
        <w:t>68</w:t>
      </w:r>
      <w:r>
        <w:rPr>
          <w:rFonts w:ascii="宋体" w:hAnsi="宋体" w:hint="eastAsia"/>
          <w:color w:val="000000"/>
        </w:rPr>
        <w:t>号时代金融中心</w:t>
      </w:r>
      <w:r>
        <w:rPr>
          <w:rFonts w:ascii="宋体" w:hAnsi="宋体" w:hint="eastAsia"/>
          <w:color w:val="000000"/>
        </w:rPr>
        <w:t>19</w:t>
      </w:r>
      <w:r>
        <w:rPr>
          <w:rFonts w:ascii="宋体" w:hAnsi="宋体" w:hint="eastAsia"/>
          <w:color w:val="000000"/>
        </w:rPr>
        <w:t>楼</w:t>
      </w:r>
    </w:p>
    <w:p w:rsidR="00B663DD" w:rsidRDefault="00227883">
      <w:pPr>
        <w:spacing w:line="360" w:lineRule="auto"/>
        <w:ind w:firstLineChars="200" w:firstLine="480"/>
        <w:rPr>
          <w:rFonts w:ascii="宋体" w:hAnsi="宋体"/>
          <w:color w:val="000000"/>
        </w:rPr>
      </w:pPr>
      <w:r>
        <w:rPr>
          <w:rFonts w:ascii="宋体" w:hAnsi="宋体" w:hint="eastAsia"/>
          <w:color w:val="000000"/>
        </w:rPr>
        <w:t>负责人：韩炯</w:t>
      </w:r>
    </w:p>
    <w:p w:rsidR="00B663DD" w:rsidRDefault="00227883">
      <w:pPr>
        <w:spacing w:line="360" w:lineRule="auto"/>
        <w:ind w:firstLineChars="200" w:firstLine="480"/>
        <w:rPr>
          <w:rFonts w:ascii="宋体" w:hAnsi="宋体"/>
          <w:color w:val="000000"/>
        </w:rPr>
      </w:pPr>
      <w:r>
        <w:rPr>
          <w:rFonts w:ascii="宋体" w:hAnsi="宋体" w:hint="eastAsia"/>
          <w:color w:val="000000"/>
        </w:rPr>
        <w:t>电话：</w:t>
      </w:r>
      <w:r>
        <w:rPr>
          <w:rFonts w:ascii="宋体" w:hAnsi="宋体" w:hint="eastAsia"/>
          <w:color w:val="000000"/>
        </w:rPr>
        <w:t>021-31358666</w:t>
      </w:r>
    </w:p>
    <w:p w:rsidR="00B663DD" w:rsidRDefault="00227883">
      <w:pPr>
        <w:spacing w:line="360" w:lineRule="auto"/>
        <w:ind w:firstLineChars="200" w:firstLine="480"/>
        <w:rPr>
          <w:rFonts w:ascii="宋体" w:hAnsi="宋体"/>
          <w:color w:val="000000"/>
        </w:rPr>
      </w:pPr>
      <w:r>
        <w:rPr>
          <w:rFonts w:ascii="宋体" w:hAnsi="宋体" w:hint="eastAsia"/>
          <w:color w:val="000000"/>
        </w:rPr>
        <w:t>传真：</w:t>
      </w:r>
      <w:r>
        <w:rPr>
          <w:rFonts w:ascii="宋体" w:hAnsi="宋体" w:hint="eastAsia"/>
          <w:color w:val="000000"/>
        </w:rPr>
        <w:t>021-31358600</w:t>
      </w:r>
    </w:p>
    <w:p w:rsidR="00B663DD" w:rsidRDefault="00227883">
      <w:pPr>
        <w:spacing w:line="360" w:lineRule="auto"/>
        <w:ind w:firstLineChars="200" w:firstLine="480"/>
        <w:rPr>
          <w:rFonts w:ascii="宋体" w:hAnsi="宋体"/>
          <w:color w:val="000000"/>
        </w:rPr>
      </w:pPr>
      <w:r>
        <w:rPr>
          <w:rFonts w:ascii="宋体" w:hAnsi="宋体" w:hint="eastAsia"/>
          <w:color w:val="000000"/>
        </w:rPr>
        <w:t>经办律师：黎明、陈颖华</w:t>
      </w:r>
    </w:p>
    <w:p w:rsidR="00B663DD" w:rsidRDefault="00227883">
      <w:pPr>
        <w:spacing w:line="360" w:lineRule="auto"/>
        <w:ind w:firstLineChars="200" w:firstLine="480"/>
        <w:rPr>
          <w:rFonts w:ascii="宋体" w:hAnsi="宋体"/>
          <w:color w:val="000000"/>
        </w:rPr>
      </w:pPr>
      <w:r>
        <w:rPr>
          <w:rFonts w:ascii="宋体" w:hAnsi="宋体" w:hint="eastAsia"/>
          <w:color w:val="000000"/>
        </w:rPr>
        <w:t>联系人：陈颖华</w:t>
      </w:r>
    </w:p>
    <w:p w:rsidR="00B663DD" w:rsidRDefault="00227883">
      <w:pPr>
        <w:spacing w:line="360" w:lineRule="auto"/>
        <w:ind w:firstLineChars="200" w:firstLine="480"/>
        <w:jc w:val="both"/>
        <w:rPr>
          <w:rFonts w:ascii="宋体" w:hAnsi="宋体"/>
        </w:rPr>
      </w:pPr>
      <w:r>
        <w:rPr>
          <w:rFonts w:ascii="宋体" w:hAnsi="宋体"/>
        </w:rPr>
        <w:t>（</w:t>
      </w:r>
      <w:r>
        <w:rPr>
          <w:rFonts w:ascii="宋体" w:hAnsi="宋体" w:hint="eastAsia"/>
        </w:rPr>
        <w:t>六</w:t>
      </w:r>
      <w:r>
        <w:rPr>
          <w:rFonts w:ascii="宋体" w:hAnsi="宋体"/>
        </w:rPr>
        <w:t>）会计师事务所和经办注册会计师</w:t>
      </w:r>
    </w:p>
    <w:p w:rsidR="00B663DD" w:rsidRDefault="00227883">
      <w:pPr>
        <w:spacing w:line="360" w:lineRule="auto"/>
        <w:ind w:firstLineChars="200" w:firstLine="480"/>
        <w:jc w:val="both"/>
        <w:rPr>
          <w:rFonts w:ascii="宋体" w:hAnsi="宋体"/>
        </w:rPr>
      </w:pPr>
      <w:r>
        <w:rPr>
          <w:rFonts w:ascii="宋体" w:hAnsi="宋体" w:hint="eastAsia"/>
        </w:rPr>
        <w:t>名称：普华永道中天会计师事务所（特殊普通合伙）</w:t>
      </w:r>
    </w:p>
    <w:p w:rsidR="00B663DD" w:rsidRDefault="00227883">
      <w:pPr>
        <w:spacing w:line="360" w:lineRule="auto"/>
        <w:ind w:firstLineChars="200" w:firstLine="480"/>
        <w:jc w:val="both"/>
        <w:rPr>
          <w:rFonts w:ascii="宋体" w:hAnsi="宋体"/>
        </w:rPr>
      </w:pPr>
      <w:r>
        <w:rPr>
          <w:rFonts w:ascii="宋体" w:hAnsi="宋体" w:hint="eastAsia"/>
        </w:rPr>
        <w:t>住所：上海市浦东新区陆家嘴环路</w:t>
      </w:r>
      <w:r>
        <w:rPr>
          <w:rFonts w:ascii="宋体" w:hAnsi="宋体" w:hint="eastAsia"/>
        </w:rPr>
        <w:t>1318</w:t>
      </w:r>
      <w:r>
        <w:rPr>
          <w:rFonts w:ascii="宋体" w:hAnsi="宋体" w:hint="eastAsia"/>
        </w:rPr>
        <w:t>号星展银行大厦</w:t>
      </w:r>
      <w:r>
        <w:rPr>
          <w:rFonts w:ascii="宋体" w:hAnsi="宋体" w:hint="eastAsia"/>
        </w:rPr>
        <w:t>6</w:t>
      </w:r>
      <w:r>
        <w:rPr>
          <w:rFonts w:ascii="宋体" w:hAnsi="宋体" w:hint="eastAsia"/>
        </w:rPr>
        <w:t>楼</w:t>
      </w:r>
    </w:p>
    <w:p w:rsidR="00B663DD" w:rsidRDefault="00227883">
      <w:pPr>
        <w:spacing w:line="360" w:lineRule="auto"/>
        <w:ind w:firstLineChars="200" w:firstLine="480"/>
        <w:jc w:val="both"/>
        <w:rPr>
          <w:rFonts w:ascii="宋体" w:hAnsi="宋体"/>
        </w:rPr>
      </w:pPr>
      <w:r>
        <w:rPr>
          <w:rFonts w:ascii="宋体" w:hAnsi="宋体" w:hint="eastAsia"/>
        </w:rPr>
        <w:t>办公地址：上海市湖滨路</w:t>
      </w:r>
      <w:r>
        <w:rPr>
          <w:rFonts w:ascii="宋体" w:hAnsi="宋体" w:hint="eastAsia"/>
        </w:rPr>
        <w:t>202</w:t>
      </w:r>
      <w:r>
        <w:rPr>
          <w:rFonts w:ascii="宋体" w:hAnsi="宋体" w:hint="eastAsia"/>
        </w:rPr>
        <w:t>号普华永道中心</w:t>
      </w:r>
      <w:r>
        <w:rPr>
          <w:rFonts w:ascii="宋体" w:hAnsi="宋体" w:hint="eastAsia"/>
        </w:rPr>
        <w:t>11</w:t>
      </w:r>
      <w:r>
        <w:rPr>
          <w:rFonts w:ascii="宋体" w:hAnsi="宋体" w:hint="eastAsia"/>
        </w:rPr>
        <w:t>楼</w:t>
      </w:r>
    </w:p>
    <w:p w:rsidR="00B663DD" w:rsidRDefault="00227883">
      <w:pPr>
        <w:spacing w:line="360" w:lineRule="auto"/>
        <w:ind w:firstLineChars="200" w:firstLine="480"/>
        <w:jc w:val="both"/>
        <w:rPr>
          <w:rFonts w:ascii="宋体" w:hAnsi="宋体"/>
        </w:rPr>
      </w:pPr>
      <w:r>
        <w:rPr>
          <w:rFonts w:ascii="宋体" w:hAnsi="宋体" w:hint="eastAsia"/>
        </w:rPr>
        <w:t>执行事务合伙人：李丹</w:t>
      </w:r>
      <w:r>
        <w:rPr>
          <w:rFonts w:ascii="宋体" w:hAnsi="宋体" w:hint="eastAsia"/>
        </w:rPr>
        <w:t xml:space="preserve"> </w:t>
      </w:r>
    </w:p>
    <w:p w:rsidR="00B663DD" w:rsidRDefault="00227883">
      <w:pPr>
        <w:spacing w:line="360" w:lineRule="auto"/>
        <w:ind w:firstLineChars="200" w:firstLine="480"/>
        <w:jc w:val="both"/>
        <w:rPr>
          <w:rFonts w:ascii="宋体" w:hAnsi="宋体"/>
        </w:rPr>
      </w:pPr>
      <w:r>
        <w:rPr>
          <w:rFonts w:ascii="宋体" w:hAnsi="宋体" w:hint="eastAsia"/>
        </w:rPr>
        <w:t>电话：（</w:t>
      </w:r>
      <w:r>
        <w:rPr>
          <w:rFonts w:ascii="宋体" w:hAnsi="宋体" w:hint="eastAsia"/>
        </w:rPr>
        <w:t>021</w:t>
      </w:r>
      <w:r>
        <w:rPr>
          <w:rFonts w:ascii="宋体" w:hAnsi="宋体" w:hint="eastAsia"/>
        </w:rPr>
        <w:t>）</w:t>
      </w:r>
      <w:r>
        <w:rPr>
          <w:rFonts w:ascii="宋体" w:hAnsi="宋体" w:hint="eastAsia"/>
        </w:rPr>
        <w:t xml:space="preserve">23238888 </w:t>
      </w:r>
    </w:p>
    <w:p w:rsidR="00B663DD" w:rsidRDefault="00227883">
      <w:pPr>
        <w:spacing w:line="360" w:lineRule="auto"/>
        <w:ind w:firstLineChars="200" w:firstLine="480"/>
        <w:jc w:val="both"/>
        <w:rPr>
          <w:rFonts w:ascii="宋体" w:hAnsi="宋体"/>
        </w:rPr>
      </w:pPr>
      <w:r>
        <w:rPr>
          <w:rFonts w:ascii="宋体" w:hAnsi="宋体" w:hint="eastAsia"/>
        </w:rPr>
        <w:t>经办注册会计师：张振波、林佳璐</w:t>
      </w:r>
    </w:p>
    <w:p w:rsidR="00B663DD" w:rsidRDefault="00227883">
      <w:pPr>
        <w:spacing w:line="360" w:lineRule="auto"/>
        <w:ind w:firstLineChars="235" w:firstLine="564"/>
        <w:jc w:val="both"/>
        <w:rPr>
          <w:rFonts w:ascii="宋体" w:hAnsi="宋体"/>
        </w:rPr>
      </w:pPr>
      <w:r>
        <w:rPr>
          <w:rFonts w:ascii="宋体" w:hAnsi="宋体" w:hint="eastAsia"/>
        </w:rPr>
        <w:t>联系人：林佳璐</w:t>
      </w:r>
    </w:p>
    <w:p w:rsidR="00B663DD" w:rsidRDefault="00B663DD">
      <w:pPr>
        <w:spacing w:line="360" w:lineRule="auto"/>
        <w:rPr>
          <w:rFonts w:ascii="宋体" w:hAnsi="宋体"/>
          <w:color w:val="000000"/>
        </w:rPr>
      </w:pPr>
    </w:p>
    <w:p w:rsidR="00B663DD" w:rsidRDefault="00227883">
      <w:pPr>
        <w:spacing w:line="360" w:lineRule="auto"/>
        <w:ind w:rightChars="235" w:right="564" w:firstLineChars="235" w:firstLine="564"/>
        <w:jc w:val="right"/>
        <w:rPr>
          <w:rFonts w:ascii="宋体" w:hAnsi="宋体"/>
        </w:rPr>
      </w:pPr>
      <w:r>
        <w:rPr>
          <w:rFonts w:ascii="宋体" w:hAnsi="宋体" w:hint="eastAsia"/>
        </w:rPr>
        <w:t>天弘</w:t>
      </w:r>
      <w:r>
        <w:rPr>
          <w:rFonts w:ascii="宋体" w:hAnsi="宋体"/>
        </w:rPr>
        <w:t>基金管理有限公司</w:t>
      </w:r>
    </w:p>
    <w:p w:rsidR="00B663DD" w:rsidRDefault="00227883">
      <w:pPr>
        <w:spacing w:line="360" w:lineRule="auto"/>
        <w:ind w:rightChars="235" w:right="564" w:firstLineChars="235" w:firstLine="564"/>
        <w:jc w:val="right"/>
        <w:rPr>
          <w:rFonts w:ascii="宋体" w:hAnsi="宋体"/>
        </w:rPr>
      </w:pPr>
      <w:r>
        <w:rPr>
          <w:rFonts w:ascii="宋体" w:hAnsi="宋体" w:hint="eastAsia"/>
        </w:rPr>
        <w:t>二〇二四</w:t>
      </w:r>
      <w:r>
        <w:rPr>
          <w:rFonts w:ascii="宋体" w:hAnsi="宋体"/>
        </w:rPr>
        <w:t>年</w:t>
      </w:r>
      <w:r>
        <w:rPr>
          <w:rFonts w:ascii="宋体" w:hAnsi="宋体" w:hint="eastAsia"/>
        </w:rPr>
        <w:t>五月十日</w:t>
      </w:r>
    </w:p>
    <w:p w:rsidR="00B663DD" w:rsidRDefault="00B663DD"/>
    <w:sectPr w:rsidR="00B663DD" w:rsidSect="00B663D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3DD" w:rsidRDefault="00B663DD" w:rsidP="00B663DD">
      <w:r>
        <w:separator/>
      </w:r>
    </w:p>
  </w:endnote>
  <w:endnote w:type="continuationSeparator" w:id="0">
    <w:p w:rsidR="00B663DD" w:rsidRDefault="00B663DD" w:rsidP="00B663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DejaVu Sans">
    <w:altName w:val="Times New Roman"/>
    <w:charset w:val="00"/>
    <w:family w:val="roman"/>
    <w:pitch w:val="default"/>
    <w:sig w:usb0="00000000" w:usb1="00000000" w:usb2="00000008" w:usb3="00000000" w:csb0="000001FF" w:csb1="00000000"/>
  </w:font>
  <w:font w:name="宋体-WinCharSetFFFF-H">
    <w:altName w:val="方正舒体"/>
    <w:charset w:val="86"/>
    <w:family w:val="auto"/>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273527"/>
      <w:docPartObj>
        <w:docPartGallery w:val="AutoText"/>
      </w:docPartObj>
    </w:sdtPr>
    <w:sdtContent>
      <w:p w:rsidR="00B663DD" w:rsidRDefault="00B663DD">
        <w:pPr>
          <w:pStyle w:val="a5"/>
          <w:jc w:val="center"/>
        </w:pPr>
        <w:r>
          <w:fldChar w:fldCharType="begin"/>
        </w:r>
        <w:r w:rsidR="00227883">
          <w:instrText>PAGE   \* MERGEFORMAT</w:instrText>
        </w:r>
        <w:r>
          <w:fldChar w:fldCharType="separate"/>
        </w:r>
        <w:r w:rsidR="00227883" w:rsidRPr="00227883">
          <w:rPr>
            <w:noProof/>
            <w:lang w:val="zh-CN"/>
          </w:rPr>
          <w:t>1</w:t>
        </w:r>
        <w:r>
          <w:fldChar w:fldCharType="end"/>
        </w:r>
      </w:p>
    </w:sdtContent>
  </w:sdt>
  <w:p w:rsidR="00B663DD" w:rsidRDefault="00B663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3DD" w:rsidRDefault="00B663DD" w:rsidP="00B663DD">
      <w:r>
        <w:separator/>
      </w:r>
    </w:p>
  </w:footnote>
  <w:footnote w:type="continuationSeparator" w:id="0">
    <w:p w:rsidR="00B663DD" w:rsidRDefault="00B663DD" w:rsidP="00B66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DD" w:rsidRDefault="00227883">
    <w:pPr>
      <w:pStyle w:val="a6"/>
      <w:pBdr>
        <w:bottom w:val="thickThinLargeGap" w:sz="24" w:space="1" w:color="auto"/>
      </w:pBdr>
      <w:jc w:val="right"/>
    </w:pPr>
    <w:r>
      <w:tab/>
    </w:r>
    <w:r>
      <w:rPr>
        <w:noProof/>
        <w:szCs w:val="21"/>
      </w:rPr>
      <w:drawing>
        <wp:anchor distT="0" distB="0" distL="114300" distR="114300" simplePos="0" relativeHeight="251659264" behindDoc="1" locked="0" layoutInCell="1" allowOverlap="1">
          <wp:simplePos x="0" y="0"/>
          <wp:positionH relativeFrom="column">
            <wp:posOffset>-3810</wp:posOffset>
          </wp:positionH>
          <wp:positionV relativeFrom="paragraph">
            <wp:posOffset>-122555</wp:posOffset>
          </wp:positionV>
          <wp:extent cx="2105025" cy="276225"/>
          <wp:effectExtent l="0" t="0" r="3175" b="3175"/>
          <wp:wrapTight wrapText="bothSides">
            <wp:wrapPolygon edited="0">
              <wp:start x="0" y="0"/>
              <wp:lineTo x="0" y="19862"/>
              <wp:lineTo x="21372" y="19862"/>
              <wp:lineTo x="2137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105025" cy="276225"/>
                  </a:xfrm>
                  <a:prstGeom prst="rect">
                    <a:avLst/>
                  </a:prstGeom>
                  <a:noFill/>
                  <a:ln w="9525">
                    <a:noFill/>
                  </a:ln>
                </pic:spPr>
              </pic:pic>
            </a:graphicData>
          </a:graphic>
        </wp:anchor>
      </w:drawing>
    </w:r>
    <w:r>
      <w:rPr>
        <w:rFonts w:hint="eastAsia"/>
        <w:sz w:val="21"/>
        <w:szCs w:val="21"/>
      </w:rPr>
      <w:t>发售公告</w:t>
    </w:r>
  </w:p>
  <w:p w:rsidR="00B663DD" w:rsidRDefault="00B663DD">
    <w:pPr>
      <w:pStyle w:val="a6"/>
      <w:tabs>
        <w:tab w:val="clear" w:pos="4153"/>
        <w:tab w:val="left" w:pos="75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D6D8635D"/>
    <w:rsid w:val="D6D8635D"/>
    <w:rsid w:val="00001E7A"/>
    <w:rsid w:val="00001F46"/>
    <w:rsid w:val="0000697C"/>
    <w:rsid w:val="00011E10"/>
    <w:rsid w:val="000124D6"/>
    <w:rsid w:val="00017C75"/>
    <w:rsid w:val="00033975"/>
    <w:rsid w:val="00035D3A"/>
    <w:rsid w:val="00037C57"/>
    <w:rsid w:val="00040777"/>
    <w:rsid w:val="00046910"/>
    <w:rsid w:val="000634E3"/>
    <w:rsid w:val="0008633E"/>
    <w:rsid w:val="000900DD"/>
    <w:rsid w:val="000A0708"/>
    <w:rsid w:val="000B0EB4"/>
    <w:rsid w:val="000B4930"/>
    <w:rsid w:val="000B56B1"/>
    <w:rsid w:val="000B5976"/>
    <w:rsid w:val="000E5D27"/>
    <w:rsid w:val="00120AFC"/>
    <w:rsid w:val="00122B0E"/>
    <w:rsid w:val="00126AE2"/>
    <w:rsid w:val="00142C25"/>
    <w:rsid w:val="00147BA2"/>
    <w:rsid w:val="00160F7F"/>
    <w:rsid w:val="00161876"/>
    <w:rsid w:val="001769E4"/>
    <w:rsid w:val="0019359D"/>
    <w:rsid w:val="001C7209"/>
    <w:rsid w:val="001F2AFB"/>
    <w:rsid w:val="00205AE5"/>
    <w:rsid w:val="002269E8"/>
    <w:rsid w:val="00227883"/>
    <w:rsid w:val="002437C5"/>
    <w:rsid w:val="0026072A"/>
    <w:rsid w:val="002667BA"/>
    <w:rsid w:val="00281897"/>
    <w:rsid w:val="00290B46"/>
    <w:rsid w:val="002939A9"/>
    <w:rsid w:val="002A1BF9"/>
    <w:rsid w:val="002A7A97"/>
    <w:rsid w:val="002B126D"/>
    <w:rsid w:val="002B5D3F"/>
    <w:rsid w:val="002C1704"/>
    <w:rsid w:val="002C5BAF"/>
    <w:rsid w:val="002F434C"/>
    <w:rsid w:val="0030000C"/>
    <w:rsid w:val="0031529A"/>
    <w:rsid w:val="00344862"/>
    <w:rsid w:val="0034651C"/>
    <w:rsid w:val="003554FD"/>
    <w:rsid w:val="00360524"/>
    <w:rsid w:val="00363627"/>
    <w:rsid w:val="00365773"/>
    <w:rsid w:val="00376DE4"/>
    <w:rsid w:val="003823A9"/>
    <w:rsid w:val="00385783"/>
    <w:rsid w:val="00392BE0"/>
    <w:rsid w:val="00394A33"/>
    <w:rsid w:val="00395912"/>
    <w:rsid w:val="003A583D"/>
    <w:rsid w:val="003B2D34"/>
    <w:rsid w:val="003B6BCB"/>
    <w:rsid w:val="003B6D47"/>
    <w:rsid w:val="003C2A78"/>
    <w:rsid w:val="003E488B"/>
    <w:rsid w:val="003E7B99"/>
    <w:rsid w:val="003F089D"/>
    <w:rsid w:val="00401BF9"/>
    <w:rsid w:val="00415CCB"/>
    <w:rsid w:val="00415F05"/>
    <w:rsid w:val="00417064"/>
    <w:rsid w:val="00432162"/>
    <w:rsid w:val="0043724C"/>
    <w:rsid w:val="00450FD6"/>
    <w:rsid w:val="00456C61"/>
    <w:rsid w:val="00473F15"/>
    <w:rsid w:val="00486CCD"/>
    <w:rsid w:val="00495B4B"/>
    <w:rsid w:val="0049779C"/>
    <w:rsid w:val="004A3BF1"/>
    <w:rsid w:val="004A4160"/>
    <w:rsid w:val="004B0DD2"/>
    <w:rsid w:val="004B38F5"/>
    <w:rsid w:val="004B7BD1"/>
    <w:rsid w:val="004C3C7F"/>
    <w:rsid w:val="004C5246"/>
    <w:rsid w:val="004D2E31"/>
    <w:rsid w:val="004D3747"/>
    <w:rsid w:val="004F7CA6"/>
    <w:rsid w:val="00500DD7"/>
    <w:rsid w:val="005150B6"/>
    <w:rsid w:val="00523614"/>
    <w:rsid w:val="00525CAF"/>
    <w:rsid w:val="005375AD"/>
    <w:rsid w:val="005609A1"/>
    <w:rsid w:val="005708E2"/>
    <w:rsid w:val="00577DDB"/>
    <w:rsid w:val="00596F32"/>
    <w:rsid w:val="005A769A"/>
    <w:rsid w:val="005E605C"/>
    <w:rsid w:val="005F0D68"/>
    <w:rsid w:val="0064385D"/>
    <w:rsid w:val="00663DFF"/>
    <w:rsid w:val="00673A68"/>
    <w:rsid w:val="0069381A"/>
    <w:rsid w:val="0069489B"/>
    <w:rsid w:val="006A48CA"/>
    <w:rsid w:val="006C1180"/>
    <w:rsid w:val="006C7CC6"/>
    <w:rsid w:val="006D0A5E"/>
    <w:rsid w:val="006E01E4"/>
    <w:rsid w:val="006E483B"/>
    <w:rsid w:val="006E57A9"/>
    <w:rsid w:val="006F1BB5"/>
    <w:rsid w:val="007160E6"/>
    <w:rsid w:val="00727E07"/>
    <w:rsid w:val="00735072"/>
    <w:rsid w:val="00736FA4"/>
    <w:rsid w:val="00747A58"/>
    <w:rsid w:val="00760B59"/>
    <w:rsid w:val="00770D75"/>
    <w:rsid w:val="00776D8D"/>
    <w:rsid w:val="007774F9"/>
    <w:rsid w:val="007779D4"/>
    <w:rsid w:val="007916E0"/>
    <w:rsid w:val="00792B94"/>
    <w:rsid w:val="00795921"/>
    <w:rsid w:val="00795ACD"/>
    <w:rsid w:val="00796AD2"/>
    <w:rsid w:val="007A1629"/>
    <w:rsid w:val="007A5286"/>
    <w:rsid w:val="007B623B"/>
    <w:rsid w:val="007C34EA"/>
    <w:rsid w:val="007C47A3"/>
    <w:rsid w:val="007D3F44"/>
    <w:rsid w:val="007D7F5B"/>
    <w:rsid w:val="007E6BC0"/>
    <w:rsid w:val="007F4C51"/>
    <w:rsid w:val="00830E0A"/>
    <w:rsid w:val="008337DE"/>
    <w:rsid w:val="00860325"/>
    <w:rsid w:val="00891275"/>
    <w:rsid w:val="00892276"/>
    <w:rsid w:val="008A203D"/>
    <w:rsid w:val="008A2D20"/>
    <w:rsid w:val="008A46DD"/>
    <w:rsid w:val="008B0A4B"/>
    <w:rsid w:val="008B4BC2"/>
    <w:rsid w:val="008B6FB4"/>
    <w:rsid w:val="008C1AB2"/>
    <w:rsid w:val="008C3A94"/>
    <w:rsid w:val="008D082A"/>
    <w:rsid w:val="009022E2"/>
    <w:rsid w:val="00906E32"/>
    <w:rsid w:val="00910C30"/>
    <w:rsid w:val="00924093"/>
    <w:rsid w:val="00932A14"/>
    <w:rsid w:val="009518B8"/>
    <w:rsid w:val="009551EF"/>
    <w:rsid w:val="0096373B"/>
    <w:rsid w:val="0096435A"/>
    <w:rsid w:val="00967325"/>
    <w:rsid w:val="009743B1"/>
    <w:rsid w:val="009A28B1"/>
    <w:rsid w:val="009B1A14"/>
    <w:rsid w:val="009B5C1E"/>
    <w:rsid w:val="009B77CA"/>
    <w:rsid w:val="009C310E"/>
    <w:rsid w:val="009E2BEF"/>
    <w:rsid w:val="009E6E4A"/>
    <w:rsid w:val="009E7FD3"/>
    <w:rsid w:val="009F7FBD"/>
    <w:rsid w:val="00A05242"/>
    <w:rsid w:val="00A13AC0"/>
    <w:rsid w:val="00A16193"/>
    <w:rsid w:val="00A422C1"/>
    <w:rsid w:val="00A51F2B"/>
    <w:rsid w:val="00A54C03"/>
    <w:rsid w:val="00A628B0"/>
    <w:rsid w:val="00A6440D"/>
    <w:rsid w:val="00A73C2A"/>
    <w:rsid w:val="00A84A99"/>
    <w:rsid w:val="00AA359D"/>
    <w:rsid w:val="00AA5B51"/>
    <w:rsid w:val="00AC5DC8"/>
    <w:rsid w:val="00AE580F"/>
    <w:rsid w:val="00AE6AAE"/>
    <w:rsid w:val="00AE7D0F"/>
    <w:rsid w:val="00B3170B"/>
    <w:rsid w:val="00B321B5"/>
    <w:rsid w:val="00B34190"/>
    <w:rsid w:val="00B44CBD"/>
    <w:rsid w:val="00B5404B"/>
    <w:rsid w:val="00B652DA"/>
    <w:rsid w:val="00B663DD"/>
    <w:rsid w:val="00B76615"/>
    <w:rsid w:val="00B82F96"/>
    <w:rsid w:val="00B841B0"/>
    <w:rsid w:val="00B90957"/>
    <w:rsid w:val="00B936C4"/>
    <w:rsid w:val="00B9378F"/>
    <w:rsid w:val="00B94081"/>
    <w:rsid w:val="00BA2B60"/>
    <w:rsid w:val="00BA3591"/>
    <w:rsid w:val="00BB256F"/>
    <w:rsid w:val="00BD2D1B"/>
    <w:rsid w:val="00BD6F22"/>
    <w:rsid w:val="00BE3BCB"/>
    <w:rsid w:val="00BF4837"/>
    <w:rsid w:val="00BF53B6"/>
    <w:rsid w:val="00C0302F"/>
    <w:rsid w:val="00C05B70"/>
    <w:rsid w:val="00C132BD"/>
    <w:rsid w:val="00C354B1"/>
    <w:rsid w:val="00C36953"/>
    <w:rsid w:val="00C429A0"/>
    <w:rsid w:val="00C67FB7"/>
    <w:rsid w:val="00C74B09"/>
    <w:rsid w:val="00C81D01"/>
    <w:rsid w:val="00C8703D"/>
    <w:rsid w:val="00C904E0"/>
    <w:rsid w:val="00CB10C9"/>
    <w:rsid w:val="00CB115C"/>
    <w:rsid w:val="00CB474B"/>
    <w:rsid w:val="00CC3AB7"/>
    <w:rsid w:val="00CC5E2F"/>
    <w:rsid w:val="00CD7F2A"/>
    <w:rsid w:val="00CE5A74"/>
    <w:rsid w:val="00CF78EB"/>
    <w:rsid w:val="00D04C9E"/>
    <w:rsid w:val="00D1037C"/>
    <w:rsid w:val="00D20D09"/>
    <w:rsid w:val="00D2425C"/>
    <w:rsid w:val="00D378D6"/>
    <w:rsid w:val="00D37B31"/>
    <w:rsid w:val="00D415EB"/>
    <w:rsid w:val="00D43E9E"/>
    <w:rsid w:val="00D54C43"/>
    <w:rsid w:val="00D55BCD"/>
    <w:rsid w:val="00D61684"/>
    <w:rsid w:val="00D63F53"/>
    <w:rsid w:val="00D74A7E"/>
    <w:rsid w:val="00D76045"/>
    <w:rsid w:val="00D93E0A"/>
    <w:rsid w:val="00D9721C"/>
    <w:rsid w:val="00DA17D7"/>
    <w:rsid w:val="00DA1A04"/>
    <w:rsid w:val="00DA61AE"/>
    <w:rsid w:val="00DB4296"/>
    <w:rsid w:val="00DB6EA5"/>
    <w:rsid w:val="00DE21F9"/>
    <w:rsid w:val="00DF0FE9"/>
    <w:rsid w:val="00DF17A6"/>
    <w:rsid w:val="00E013B5"/>
    <w:rsid w:val="00E05E25"/>
    <w:rsid w:val="00E1037A"/>
    <w:rsid w:val="00E11932"/>
    <w:rsid w:val="00E3266A"/>
    <w:rsid w:val="00E34C27"/>
    <w:rsid w:val="00E4383A"/>
    <w:rsid w:val="00E52FF5"/>
    <w:rsid w:val="00E66955"/>
    <w:rsid w:val="00E74687"/>
    <w:rsid w:val="00E75A22"/>
    <w:rsid w:val="00E77400"/>
    <w:rsid w:val="00E81500"/>
    <w:rsid w:val="00EA42D2"/>
    <w:rsid w:val="00EA7911"/>
    <w:rsid w:val="00EC646B"/>
    <w:rsid w:val="00ED28F2"/>
    <w:rsid w:val="00F2444B"/>
    <w:rsid w:val="00F27391"/>
    <w:rsid w:val="00F544D5"/>
    <w:rsid w:val="00F60EAD"/>
    <w:rsid w:val="00F759FF"/>
    <w:rsid w:val="00F761D3"/>
    <w:rsid w:val="00F814F5"/>
    <w:rsid w:val="00F9200A"/>
    <w:rsid w:val="00FB1E48"/>
    <w:rsid w:val="00FD6A8C"/>
    <w:rsid w:val="768249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3DD"/>
    <w:rPr>
      <w:rFonts w:ascii="Times New Roman" w:hAnsi="Times New Roman"/>
      <w:sz w:val="24"/>
      <w:szCs w:val="24"/>
    </w:rPr>
  </w:style>
  <w:style w:type="paragraph" w:styleId="1">
    <w:name w:val="heading 1"/>
    <w:basedOn w:val="a"/>
    <w:next w:val="a"/>
    <w:qFormat/>
    <w:rsid w:val="00B663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rsid w:val="00B663DD"/>
  </w:style>
  <w:style w:type="paragraph" w:styleId="a4">
    <w:name w:val="Balloon Text"/>
    <w:basedOn w:val="a"/>
    <w:link w:val="Char0"/>
    <w:autoRedefine/>
    <w:qFormat/>
    <w:rsid w:val="00B663DD"/>
    <w:rPr>
      <w:sz w:val="18"/>
      <w:szCs w:val="18"/>
    </w:rPr>
  </w:style>
  <w:style w:type="paragraph" w:styleId="a5">
    <w:name w:val="footer"/>
    <w:basedOn w:val="a"/>
    <w:link w:val="Char1"/>
    <w:autoRedefine/>
    <w:uiPriority w:val="99"/>
    <w:qFormat/>
    <w:rsid w:val="00B663DD"/>
    <w:pPr>
      <w:tabs>
        <w:tab w:val="center" w:pos="4153"/>
        <w:tab w:val="right" w:pos="8306"/>
      </w:tabs>
      <w:snapToGrid w:val="0"/>
    </w:pPr>
    <w:rPr>
      <w:sz w:val="18"/>
    </w:rPr>
  </w:style>
  <w:style w:type="paragraph" w:styleId="a6">
    <w:name w:val="header"/>
    <w:basedOn w:val="a"/>
    <w:autoRedefine/>
    <w:qFormat/>
    <w:rsid w:val="00B663D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DejaVu Sans" w:hAnsi="DejaVu Sans"/>
      <w:sz w:val="18"/>
    </w:rPr>
  </w:style>
  <w:style w:type="paragraph" w:styleId="a7">
    <w:name w:val="annotation subject"/>
    <w:basedOn w:val="a3"/>
    <w:next w:val="a3"/>
    <w:link w:val="Char2"/>
    <w:autoRedefine/>
    <w:qFormat/>
    <w:rsid w:val="00B663DD"/>
    <w:rPr>
      <w:b/>
      <w:bCs/>
    </w:rPr>
  </w:style>
  <w:style w:type="character" w:styleId="a8">
    <w:name w:val="page number"/>
    <w:basedOn w:val="a0"/>
    <w:autoRedefine/>
    <w:qFormat/>
    <w:rsid w:val="00B663DD"/>
  </w:style>
  <w:style w:type="character" w:styleId="a9">
    <w:name w:val="Hyperlink"/>
    <w:basedOn w:val="a0"/>
    <w:autoRedefine/>
    <w:qFormat/>
    <w:rsid w:val="00B663DD"/>
    <w:rPr>
      <w:color w:val="0563C1" w:themeColor="hyperlink"/>
      <w:u w:val="single"/>
    </w:rPr>
  </w:style>
  <w:style w:type="character" w:styleId="aa">
    <w:name w:val="annotation reference"/>
    <w:basedOn w:val="a0"/>
    <w:autoRedefine/>
    <w:qFormat/>
    <w:rsid w:val="00B663DD"/>
    <w:rPr>
      <w:sz w:val="21"/>
      <w:szCs w:val="21"/>
    </w:rPr>
  </w:style>
  <w:style w:type="paragraph" w:customStyle="1" w:styleId="Default">
    <w:name w:val="Default"/>
    <w:autoRedefine/>
    <w:qFormat/>
    <w:rsid w:val="00B663DD"/>
    <w:pPr>
      <w:widowControl w:val="0"/>
      <w:autoSpaceDE w:val="0"/>
      <w:autoSpaceDN w:val="0"/>
      <w:adjustRightInd w:val="0"/>
    </w:pPr>
    <w:rPr>
      <w:rFonts w:ascii="宋体" w:hAnsi="Times New Roman" w:cs="宋体"/>
      <w:color w:val="000000"/>
      <w:sz w:val="24"/>
      <w:szCs w:val="24"/>
    </w:rPr>
  </w:style>
  <w:style w:type="character" w:customStyle="1" w:styleId="Char0">
    <w:name w:val="批注框文本 Char"/>
    <w:basedOn w:val="a0"/>
    <w:link w:val="a4"/>
    <w:autoRedefine/>
    <w:qFormat/>
    <w:rsid w:val="00B663DD"/>
    <w:rPr>
      <w:rFonts w:ascii="Times New Roman" w:hAnsi="Times New Roman"/>
      <w:sz w:val="18"/>
      <w:szCs w:val="18"/>
    </w:rPr>
  </w:style>
  <w:style w:type="character" w:customStyle="1" w:styleId="Char">
    <w:name w:val="批注文字 Char"/>
    <w:basedOn w:val="a0"/>
    <w:link w:val="a3"/>
    <w:autoRedefine/>
    <w:qFormat/>
    <w:rsid w:val="00B663DD"/>
    <w:rPr>
      <w:rFonts w:ascii="Times New Roman" w:hAnsi="Times New Roman"/>
      <w:sz w:val="24"/>
      <w:szCs w:val="24"/>
    </w:rPr>
  </w:style>
  <w:style w:type="character" w:customStyle="1" w:styleId="Char2">
    <w:name w:val="批注主题 Char"/>
    <w:basedOn w:val="Char"/>
    <w:link w:val="a7"/>
    <w:autoRedefine/>
    <w:qFormat/>
    <w:rsid w:val="00B663DD"/>
    <w:rPr>
      <w:rFonts w:ascii="Times New Roman" w:hAnsi="Times New Roman"/>
      <w:b/>
      <w:bCs/>
      <w:sz w:val="24"/>
      <w:szCs w:val="24"/>
    </w:rPr>
  </w:style>
  <w:style w:type="paragraph" w:styleId="ab">
    <w:name w:val="List Paragraph"/>
    <w:basedOn w:val="a"/>
    <w:autoRedefine/>
    <w:uiPriority w:val="99"/>
    <w:qFormat/>
    <w:rsid w:val="00B663DD"/>
    <w:pPr>
      <w:ind w:firstLineChars="200" w:firstLine="420"/>
    </w:pPr>
  </w:style>
  <w:style w:type="paragraph" w:customStyle="1" w:styleId="10">
    <w:name w:val="修订1"/>
    <w:autoRedefine/>
    <w:hidden/>
    <w:uiPriority w:val="99"/>
    <w:semiHidden/>
    <w:qFormat/>
    <w:rsid w:val="00B663DD"/>
    <w:rPr>
      <w:rFonts w:ascii="Times New Roman" w:hAnsi="Times New Roman"/>
      <w:sz w:val="24"/>
      <w:szCs w:val="24"/>
    </w:rPr>
  </w:style>
  <w:style w:type="character" w:customStyle="1" w:styleId="Char1">
    <w:name w:val="页脚 Char"/>
    <w:basedOn w:val="a0"/>
    <w:link w:val="a5"/>
    <w:autoRedefine/>
    <w:uiPriority w:val="99"/>
    <w:qFormat/>
    <w:rsid w:val="00B663DD"/>
    <w:rPr>
      <w:rFonts w:ascii="Times New Roman" w:hAnsi="Times New Roman"/>
      <w:sz w:val="18"/>
      <w:szCs w:val="24"/>
    </w:rPr>
  </w:style>
  <w:style w:type="table" w:customStyle="1" w:styleId="11">
    <w:name w:val="网格型1"/>
    <w:basedOn w:val="a1"/>
    <w:autoRedefine/>
    <w:uiPriority w:val="59"/>
    <w:qFormat/>
    <w:rsid w:val="00B663DD"/>
    <w:pPr>
      <w:widowControl w:val="0"/>
      <w:jc w:val="both"/>
    </w:pPr>
    <w:rPr>
      <w:rFonts w:ascii="宋体" w:eastAsia="宋体" w:hAnsi="宋体" w:cs="Times New Roman"/>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51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7568-C24B-4565-85EF-1BF2F1B0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1531</Words>
  <Characters>8729</Characters>
  <Application>Microsoft Office Word</Application>
  <DocSecurity>4</DocSecurity>
  <Lines>72</Lines>
  <Paragraphs>20</Paragraphs>
  <ScaleCrop>false</ScaleCrop>
  <Company>Microsoft</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ZHONGM</cp:lastModifiedBy>
  <cp:revision>2</cp:revision>
  <dcterms:created xsi:type="dcterms:W3CDTF">2024-05-09T16:02:00Z</dcterms:created>
  <dcterms:modified xsi:type="dcterms:W3CDTF">2024-05-09T16:02:00Z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8DBA981DA4D2401D9E363E1BD067AF80_13</vt:lpwstr>
  </property>
</Properties>
</file>