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9D" w:rsidRDefault="00BD681D">
      <w:pPr>
        <w:spacing w:line="500" w:lineRule="exact"/>
        <w:jc w:val="center"/>
        <w:rPr>
          <w:rFonts w:ascii="黑体" w:eastAsia="黑体" w:hAnsi="黑体"/>
          <w:sz w:val="30"/>
          <w:szCs w:val="30"/>
        </w:rPr>
      </w:pPr>
      <w:r>
        <w:rPr>
          <w:rFonts w:ascii="黑体" w:eastAsia="黑体" w:hAnsi="黑体" w:hint="eastAsia"/>
          <w:sz w:val="30"/>
          <w:szCs w:val="30"/>
        </w:rPr>
        <w:t>申万菱信基金管理有限公司</w:t>
      </w:r>
    </w:p>
    <w:p w:rsidR="0001179D" w:rsidRDefault="00BD681D" w:rsidP="00BD681D">
      <w:pPr>
        <w:spacing w:afterLines="50" w:line="500" w:lineRule="exact"/>
        <w:jc w:val="center"/>
        <w:rPr>
          <w:rFonts w:ascii="黑体" w:eastAsia="黑体" w:hAnsi="黑体"/>
          <w:sz w:val="30"/>
          <w:szCs w:val="30"/>
        </w:rPr>
      </w:pPr>
      <w:r>
        <w:rPr>
          <w:rFonts w:ascii="黑体" w:eastAsia="黑体" w:hAnsi="黑体" w:hint="eastAsia"/>
          <w:sz w:val="30"/>
          <w:szCs w:val="30"/>
        </w:rPr>
        <w:t>关于旗下部分基金新增代销机构的公告</w:t>
      </w:r>
    </w:p>
    <w:p w:rsidR="0001179D" w:rsidRDefault="00BD681D">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为满足广大投资者的理财需求，经申万菱信基金管理有限公司（以下简称“本公司”）与部分代销机构协商一致，本公司旗下部分基金新增代销机构，详情如下：</w:t>
      </w:r>
    </w:p>
    <w:p w:rsidR="0001179D" w:rsidRDefault="00BD681D">
      <w:pPr>
        <w:pStyle w:val="ab"/>
        <w:numPr>
          <w:ilvl w:val="0"/>
          <w:numId w:val="1"/>
        </w:numPr>
        <w:spacing w:line="500" w:lineRule="exact"/>
        <w:ind w:left="0" w:firstLine="480"/>
        <w:rPr>
          <w:rFonts w:ascii="仿宋" w:eastAsia="仿宋" w:hAnsi="仿宋" w:cs="仿宋"/>
          <w:sz w:val="24"/>
          <w:szCs w:val="24"/>
        </w:rPr>
      </w:pPr>
      <w:r>
        <w:rPr>
          <w:rFonts w:ascii="仿宋" w:eastAsia="仿宋" w:hAnsi="仿宋" w:cs="仿宋" w:hint="eastAsia"/>
          <w:sz w:val="24"/>
          <w:szCs w:val="24"/>
        </w:rPr>
        <w:t>适用基金范围</w:t>
      </w:r>
    </w:p>
    <w:p w:rsidR="0001179D" w:rsidRDefault="00BD681D">
      <w:pPr>
        <w:spacing w:line="500" w:lineRule="exact"/>
        <w:ind w:firstLineChars="200" w:firstLine="480"/>
        <w:jc w:val="lef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hint="eastAsia"/>
          <w:sz w:val="24"/>
          <w:szCs w:val="24"/>
        </w:rPr>
        <w:t>2024</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sz w:val="24"/>
          <w:szCs w:val="24"/>
        </w:rPr>
        <w:t>3</w:t>
      </w:r>
      <w:r>
        <w:rPr>
          <w:rFonts w:ascii="仿宋" w:eastAsia="仿宋" w:hAnsi="仿宋" w:cs="仿宋" w:hint="eastAsia"/>
          <w:sz w:val="24"/>
          <w:szCs w:val="24"/>
        </w:rPr>
        <w:t>日起，投资者可通过开源证券股份有限公司（简称“开源证券”）办理申万菱信红利量化选股股票型证券投资基金（以下简称“本基金”，基金代码</w:t>
      </w:r>
      <w:r>
        <w:rPr>
          <w:rFonts w:ascii="仿宋" w:eastAsia="仿宋" w:hAnsi="仿宋" w:cs="仿宋" w:hint="eastAsia"/>
          <w:sz w:val="24"/>
          <w:szCs w:val="24"/>
        </w:rPr>
        <w:t>A/C</w:t>
      </w:r>
      <w:r>
        <w:rPr>
          <w:rFonts w:ascii="仿宋" w:eastAsia="仿宋" w:hAnsi="仿宋" w:cs="仿宋" w:hint="eastAsia"/>
          <w:sz w:val="24"/>
          <w:szCs w:val="24"/>
        </w:rPr>
        <w:t>：</w:t>
      </w:r>
      <w:r>
        <w:rPr>
          <w:rFonts w:ascii="仿宋" w:eastAsia="仿宋" w:hAnsi="仿宋" w:cs="仿宋" w:hint="eastAsia"/>
          <w:sz w:val="24"/>
          <w:szCs w:val="24"/>
        </w:rPr>
        <w:t>017292/017293</w:t>
      </w:r>
      <w:r>
        <w:rPr>
          <w:rFonts w:ascii="仿宋" w:eastAsia="仿宋" w:hAnsi="仿宋" w:cs="仿宋" w:hint="eastAsia"/>
          <w:sz w:val="24"/>
          <w:szCs w:val="24"/>
        </w:rPr>
        <w:t>）的开户、认购等业务。</w:t>
      </w:r>
    </w:p>
    <w:p w:rsidR="0001179D" w:rsidRDefault="00BD681D">
      <w:pPr>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本基金于</w:t>
      </w:r>
      <w:r>
        <w:rPr>
          <w:rFonts w:ascii="仿宋" w:eastAsia="仿宋" w:hAnsi="仿宋" w:cs="仿宋" w:hint="eastAsia"/>
          <w:sz w:val="24"/>
          <w:szCs w:val="24"/>
        </w:rPr>
        <w:t>2024</w:t>
      </w:r>
      <w:r>
        <w:rPr>
          <w:rFonts w:ascii="仿宋" w:eastAsia="仿宋" w:hAnsi="仿宋" w:cs="仿宋" w:hint="eastAsia"/>
          <w:sz w:val="24"/>
          <w:szCs w:val="24"/>
        </w:rPr>
        <w:t>年</w:t>
      </w:r>
      <w:r>
        <w:rPr>
          <w:rFonts w:ascii="仿宋" w:eastAsia="仿宋" w:hAnsi="仿宋" w:cs="仿宋" w:hint="eastAsia"/>
          <w:sz w:val="24"/>
          <w:szCs w:val="24"/>
        </w:rPr>
        <w:t>4</w:t>
      </w:r>
      <w:r>
        <w:rPr>
          <w:rFonts w:ascii="仿宋" w:eastAsia="仿宋" w:hAnsi="仿宋" w:cs="仿宋" w:hint="eastAsia"/>
          <w:sz w:val="24"/>
          <w:szCs w:val="24"/>
        </w:rPr>
        <w:t>月</w:t>
      </w:r>
      <w:r>
        <w:rPr>
          <w:rFonts w:ascii="仿宋" w:eastAsia="仿宋" w:hAnsi="仿宋" w:cs="仿宋" w:hint="eastAsia"/>
          <w:sz w:val="24"/>
          <w:szCs w:val="24"/>
        </w:rPr>
        <w:t>8</w:t>
      </w:r>
      <w:r>
        <w:rPr>
          <w:rFonts w:ascii="仿宋" w:eastAsia="仿宋" w:hAnsi="仿宋" w:cs="仿宋" w:hint="eastAsia"/>
          <w:sz w:val="24"/>
          <w:szCs w:val="24"/>
        </w:rPr>
        <w:t>日至</w:t>
      </w:r>
      <w:r>
        <w:rPr>
          <w:rFonts w:ascii="仿宋" w:eastAsia="仿宋" w:hAnsi="仿宋" w:cs="仿宋" w:hint="eastAsia"/>
          <w:sz w:val="24"/>
          <w:szCs w:val="24"/>
        </w:rPr>
        <w:t>2024</w:t>
      </w:r>
      <w:r>
        <w:rPr>
          <w:rFonts w:ascii="仿宋" w:eastAsia="仿宋" w:hAnsi="仿宋" w:cs="仿宋" w:hint="eastAsia"/>
          <w:sz w:val="24"/>
          <w:szCs w:val="24"/>
        </w:rPr>
        <w:t>年</w:t>
      </w:r>
      <w:r>
        <w:rPr>
          <w:rFonts w:ascii="仿宋" w:eastAsia="仿宋" w:hAnsi="仿宋" w:cs="仿宋" w:hint="eastAsia"/>
          <w:sz w:val="24"/>
          <w:szCs w:val="24"/>
        </w:rPr>
        <w:t>7</w:t>
      </w:r>
      <w:r>
        <w:rPr>
          <w:rFonts w:ascii="仿宋" w:eastAsia="仿宋" w:hAnsi="仿宋" w:cs="仿宋" w:hint="eastAsia"/>
          <w:sz w:val="24"/>
          <w:szCs w:val="24"/>
        </w:rPr>
        <w:t>月</w:t>
      </w:r>
      <w:r>
        <w:rPr>
          <w:rFonts w:ascii="仿宋" w:eastAsia="仿宋" w:hAnsi="仿宋" w:cs="仿宋" w:hint="eastAsia"/>
          <w:sz w:val="24"/>
          <w:szCs w:val="24"/>
        </w:rPr>
        <w:t>5</w:t>
      </w:r>
      <w:r>
        <w:rPr>
          <w:rFonts w:ascii="仿宋" w:eastAsia="仿宋" w:hAnsi="仿宋" w:cs="仿宋" w:hint="eastAsia"/>
          <w:sz w:val="24"/>
          <w:szCs w:val="24"/>
        </w:rPr>
        <w:t>日通过本公司直销中心和各代销机构的代销网点公开发售。具体程序以各代销机构的规定为准。</w:t>
      </w:r>
    </w:p>
    <w:p w:rsidR="0001179D" w:rsidRDefault="00BD681D">
      <w:pPr>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2024</w:t>
      </w:r>
      <w:r>
        <w:rPr>
          <w:rFonts w:ascii="仿宋" w:eastAsia="仿宋" w:hAnsi="仿宋" w:cs="仿宋" w:hint="eastAsia"/>
          <w:sz w:val="24"/>
          <w:szCs w:val="24"/>
        </w:rPr>
        <w:t>年</w:t>
      </w:r>
      <w:r>
        <w:rPr>
          <w:rFonts w:ascii="仿宋" w:eastAsia="仿宋" w:hAnsi="仿宋" w:cs="仿宋"/>
          <w:sz w:val="24"/>
          <w:szCs w:val="24"/>
        </w:rPr>
        <w:t>5</w:t>
      </w:r>
      <w:r>
        <w:rPr>
          <w:rFonts w:ascii="仿宋" w:eastAsia="仿宋" w:hAnsi="仿宋" w:cs="仿宋" w:hint="eastAsia"/>
          <w:sz w:val="24"/>
          <w:szCs w:val="24"/>
        </w:rPr>
        <w:t>月</w:t>
      </w:r>
      <w:r>
        <w:rPr>
          <w:rFonts w:ascii="仿宋" w:eastAsia="仿宋" w:hAnsi="仿宋" w:cs="仿宋"/>
          <w:sz w:val="24"/>
          <w:szCs w:val="24"/>
        </w:rPr>
        <w:t>16</w:t>
      </w:r>
      <w:r>
        <w:rPr>
          <w:rFonts w:ascii="仿宋" w:eastAsia="仿宋" w:hAnsi="仿宋" w:cs="仿宋" w:hint="eastAsia"/>
          <w:sz w:val="24"/>
          <w:szCs w:val="24"/>
        </w:rPr>
        <w:t>日起，投资者可通过国信证券股份有限公司（简称“国信证券”）办理下表所列基金产品的开户、申购、赎回等相关业务。</w:t>
      </w:r>
    </w:p>
    <w:tbl>
      <w:tblPr>
        <w:tblW w:w="5000" w:type="pct"/>
        <w:tblLayout w:type="fixed"/>
        <w:tblLook w:val="04A0"/>
      </w:tblPr>
      <w:tblGrid>
        <w:gridCol w:w="1204"/>
        <w:gridCol w:w="5714"/>
        <w:gridCol w:w="1604"/>
      </w:tblGrid>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b/>
                <w:sz w:val="24"/>
                <w:szCs w:val="24"/>
              </w:rPr>
            </w:pPr>
            <w:r>
              <w:rPr>
                <w:rFonts w:ascii="仿宋" w:eastAsia="仿宋" w:hAnsi="仿宋" w:cs="仿宋" w:hint="eastAsia"/>
                <w:b/>
                <w:sz w:val="24"/>
                <w:szCs w:val="24"/>
              </w:rPr>
              <w:t>基金代码</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b/>
                <w:sz w:val="24"/>
                <w:szCs w:val="24"/>
              </w:rPr>
            </w:pPr>
            <w:bookmarkStart w:id="0" w:name="_GoBack"/>
            <w:bookmarkEnd w:id="0"/>
            <w:r>
              <w:rPr>
                <w:rFonts w:ascii="仿宋" w:eastAsia="仿宋" w:hAnsi="仿宋" w:cs="仿宋" w:hint="eastAsia"/>
                <w:b/>
                <w:sz w:val="24"/>
                <w:szCs w:val="24"/>
              </w:rPr>
              <w:t>基金名称</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b/>
                <w:sz w:val="24"/>
                <w:szCs w:val="24"/>
              </w:rPr>
            </w:pPr>
            <w:r>
              <w:rPr>
                <w:rFonts w:ascii="仿宋" w:eastAsia="仿宋" w:hAnsi="仿宋" w:cs="仿宋"/>
                <w:b/>
                <w:sz w:val="24"/>
                <w:szCs w:val="24"/>
              </w:rPr>
              <w:t>TA</w:t>
            </w:r>
            <w:r>
              <w:rPr>
                <w:rFonts w:ascii="仿宋" w:eastAsia="仿宋" w:hAnsi="仿宋" w:cs="仿宋"/>
                <w:b/>
                <w:sz w:val="24"/>
                <w:szCs w:val="24"/>
              </w:rPr>
              <w:t>类别</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013918</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申万菱信量化小盘股票型证券投资基金（</w:t>
            </w:r>
            <w:r>
              <w:rPr>
                <w:rFonts w:ascii="仿宋" w:eastAsia="仿宋" w:hAnsi="仿宋" w:cs="仿宋"/>
                <w:sz w:val="24"/>
                <w:szCs w:val="24"/>
              </w:rPr>
              <w:t>LOF</w:t>
            </w:r>
            <w:r>
              <w:rPr>
                <w:rFonts w:ascii="仿宋" w:eastAsia="仿宋" w:hAnsi="仿宋" w:cs="仿宋"/>
                <w:sz w:val="24"/>
                <w:szCs w:val="24"/>
              </w:rPr>
              <w:t>）</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中登</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015157</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申万菱信行业轮动股票型证券投资基金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015159</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申万菱信智能驱动股票型证券投资基金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015171</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申万菱信医药先锋股票型证券投资基金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015176</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申万菱信中证申万医药生物指数型证券投资基金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中登</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015177</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申万菱信深证成份指数型证券投资基金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中登</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015178</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申万菱信中证申万证券行业指数型证券投资基金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中登</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015921</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申万菱信国证</w:t>
            </w:r>
            <w:r>
              <w:rPr>
                <w:rFonts w:ascii="仿宋" w:eastAsia="仿宋" w:hAnsi="仿宋" w:cs="仿宋"/>
                <w:sz w:val="24"/>
                <w:szCs w:val="24"/>
              </w:rPr>
              <w:t>2000</w:t>
            </w:r>
            <w:r>
              <w:rPr>
                <w:rFonts w:ascii="仿宋" w:eastAsia="仿宋" w:hAnsi="仿宋" w:cs="仿宋"/>
                <w:sz w:val="24"/>
                <w:szCs w:val="24"/>
              </w:rPr>
              <w:t>指数增强型发起式证券投资基金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015922</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申万菱信国证</w:t>
            </w:r>
            <w:r>
              <w:rPr>
                <w:rFonts w:ascii="仿宋" w:eastAsia="仿宋" w:hAnsi="仿宋" w:cs="仿宋"/>
                <w:sz w:val="24"/>
                <w:szCs w:val="24"/>
              </w:rPr>
              <w:t>2000</w:t>
            </w:r>
            <w:r>
              <w:rPr>
                <w:rFonts w:ascii="仿宋" w:eastAsia="仿宋" w:hAnsi="仿宋" w:cs="仿宋"/>
                <w:sz w:val="24"/>
                <w:szCs w:val="24"/>
              </w:rPr>
              <w:t>指数增强型发起式证券投资基金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lastRenderedPageBreak/>
              <w:t>016103</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申万菱信沪深</w:t>
            </w:r>
            <w:r>
              <w:rPr>
                <w:rFonts w:ascii="仿宋" w:eastAsia="仿宋" w:hAnsi="仿宋" w:cs="仿宋"/>
                <w:sz w:val="24"/>
                <w:szCs w:val="24"/>
              </w:rPr>
              <w:t>300</w:t>
            </w:r>
            <w:r>
              <w:rPr>
                <w:rFonts w:ascii="仿宋" w:eastAsia="仿宋" w:hAnsi="仿宋" w:cs="仿宋"/>
                <w:sz w:val="24"/>
                <w:szCs w:val="24"/>
              </w:rPr>
              <w:t>优选指数增强发起式证券投资基金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016104</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申万菱信沪深</w:t>
            </w:r>
            <w:r>
              <w:rPr>
                <w:rFonts w:ascii="仿宋" w:eastAsia="仿宋" w:hAnsi="仿宋" w:cs="仿宋"/>
                <w:sz w:val="24"/>
                <w:szCs w:val="24"/>
              </w:rPr>
              <w:t>300</w:t>
            </w:r>
            <w:r>
              <w:rPr>
                <w:rFonts w:ascii="仿宋" w:eastAsia="仿宋" w:hAnsi="仿宋" w:cs="仿宋"/>
                <w:sz w:val="24"/>
                <w:szCs w:val="24"/>
              </w:rPr>
              <w:t>优选指数增强发起式证券投资基金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016209</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申万菱信中证军工指数型证券投资基金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中登</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016225</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申万菱信中证内地新能源主题交易型开放式指数证券投资基金发起式联接基金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016226</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申万菱信中证内地新能源主题交易型开放式指数证券投资基金发起式联接基金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017067</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申万菱信中证</w:t>
            </w:r>
            <w:r>
              <w:rPr>
                <w:rFonts w:ascii="仿宋" w:eastAsia="仿宋" w:hAnsi="仿宋" w:cs="仿宋"/>
                <w:sz w:val="24"/>
                <w:szCs w:val="24"/>
              </w:rPr>
              <w:t>1000</w:t>
            </w:r>
            <w:r>
              <w:rPr>
                <w:rFonts w:ascii="仿宋" w:eastAsia="仿宋" w:hAnsi="仿宋" w:cs="仿宋"/>
                <w:sz w:val="24"/>
                <w:szCs w:val="24"/>
              </w:rPr>
              <w:t>指数增强型证券投资基金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017068</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申万菱信中证</w:t>
            </w:r>
            <w:r>
              <w:rPr>
                <w:rFonts w:ascii="仿宋" w:eastAsia="仿宋" w:hAnsi="仿宋" w:cs="仿宋"/>
                <w:sz w:val="24"/>
                <w:szCs w:val="24"/>
              </w:rPr>
              <w:t>1000</w:t>
            </w:r>
            <w:r>
              <w:rPr>
                <w:rFonts w:ascii="仿宋" w:eastAsia="仿宋" w:hAnsi="仿宋" w:cs="仿宋"/>
                <w:sz w:val="24"/>
                <w:szCs w:val="24"/>
              </w:rPr>
              <w:t>指数增强型证券投资基金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018048</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申万菱信数字产业股票型发起式证券投资基金</w:t>
            </w:r>
            <w:r>
              <w:rPr>
                <w:rFonts w:ascii="仿宋" w:eastAsia="仿宋" w:hAnsi="仿宋" w:cs="仿宋" w:hint="eastAsia"/>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018049</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申万菱信数字产业股票型发起式证券投资基金</w:t>
            </w:r>
            <w:r>
              <w:rPr>
                <w:rFonts w:ascii="仿宋" w:eastAsia="仿宋" w:hAnsi="仿宋" w:cs="仿宋" w:hint="eastAsia"/>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014861</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申万菱信双禧混合型发起式证券投资基金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014862</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申万菱信双禧混合型发起式证券投资基金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015158</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申万菱信价值精选混合型证券投资基金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015173</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申万菱信竞争优势混合型证券投资基金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015254</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申万菱信消费增长混合型证券投资基金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015630</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申万菱信乐融一年持有期混合型证券投资基金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015631</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申万菱信乐融一年持有期混合型证券投资基金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016101</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申万菱信碳中和智选混合型发起式证券投资基金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016102</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申万菱信碳中和智选混合型发起式证券投资基金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016515</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申万菱信智能生活量化选股混合型发起式证券投资</w:t>
            </w:r>
            <w:r>
              <w:rPr>
                <w:rFonts w:ascii="仿宋" w:eastAsia="仿宋" w:hAnsi="仿宋" w:cs="仿宋"/>
                <w:sz w:val="24"/>
                <w:szCs w:val="24"/>
              </w:rPr>
              <w:lastRenderedPageBreak/>
              <w:t>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lastRenderedPageBreak/>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lastRenderedPageBreak/>
              <w:t>016516</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申万菱信智能生活量化选股混合型发起式证券投资基金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011985</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申万菱信合利纯债债券型证券投资基金</w:t>
            </w:r>
            <w:r>
              <w:rPr>
                <w:rFonts w:ascii="仿宋" w:eastAsia="仿宋" w:hAnsi="仿宋" w:cs="仿宋"/>
                <w:sz w:val="24"/>
                <w:szCs w:val="24"/>
              </w:rPr>
              <w:t>A</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011986</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申万菱信合利纯债债券型证券投资基金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015167</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申万菱信可转换债券债券型证券投资基金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r w:rsidR="0001179D">
        <w:trPr>
          <w:trHeight w:val="400"/>
        </w:trPr>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hint="eastAsia"/>
                <w:sz w:val="24"/>
                <w:szCs w:val="24"/>
              </w:rPr>
              <w:t>015175</w:t>
            </w:r>
          </w:p>
        </w:tc>
        <w:tc>
          <w:tcPr>
            <w:tcW w:w="3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申万菱信稳益宝债券型证券投资基金</w:t>
            </w:r>
            <w:r>
              <w:rPr>
                <w:rFonts w:ascii="仿宋" w:eastAsia="仿宋" w:hAnsi="仿宋" w:cs="仿宋"/>
                <w:sz w:val="24"/>
                <w:szCs w:val="24"/>
              </w:rPr>
              <w:t>C</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01179D" w:rsidRDefault="00BD681D">
            <w:pPr>
              <w:widowControl/>
              <w:jc w:val="center"/>
              <w:rPr>
                <w:rFonts w:ascii="仿宋" w:eastAsia="仿宋" w:hAnsi="仿宋" w:cs="仿宋"/>
                <w:sz w:val="24"/>
                <w:szCs w:val="24"/>
              </w:rPr>
            </w:pPr>
            <w:r>
              <w:rPr>
                <w:rFonts w:ascii="仿宋" w:eastAsia="仿宋" w:hAnsi="仿宋" w:cs="仿宋"/>
                <w:sz w:val="24"/>
                <w:szCs w:val="24"/>
              </w:rPr>
              <w:t>自建</w:t>
            </w:r>
            <w:r>
              <w:rPr>
                <w:rFonts w:ascii="仿宋" w:eastAsia="仿宋" w:hAnsi="仿宋" w:cs="仿宋"/>
                <w:sz w:val="24"/>
                <w:szCs w:val="24"/>
              </w:rPr>
              <w:t>TA</w:t>
            </w:r>
          </w:p>
        </w:tc>
      </w:tr>
    </w:tbl>
    <w:p w:rsidR="0001179D" w:rsidRDefault="00BD681D">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注：本公司旗下自建</w:t>
      </w:r>
      <w:r>
        <w:rPr>
          <w:rFonts w:ascii="仿宋" w:eastAsia="仿宋" w:hAnsi="仿宋" w:cs="仿宋" w:hint="eastAsia"/>
          <w:sz w:val="24"/>
          <w:szCs w:val="24"/>
        </w:rPr>
        <w:t>TA</w:t>
      </w:r>
      <w:r>
        <w:rPr>
          <w:rFonts w:ascii="仿宋" w:eastAsia="仿宋" w:hAnsi="仿宋" w:cs="仿宋" w:hint="eastAsia"/>
          <w:sz w:val="24"/>
          <w:szCs w:val="24"/>
        </w:rPr>
        <w:t>基金与中登（“中登”为中国证券登记结算有限公司的简称）</w:t>
      </w:r>
      <w:r>
        <w:rPr>
          <w:rFonts w:ascii="仿宋" w:eastAsia="仿宋" w:hAnsi="仿宋" w:cs="仿宋" w:hint="eastAsia"/>
          <w:sz w:val="24"/>
          <w:szCs w:val="24"/>
        </w:rPr>
        <w:t>TA</w:t>
      </w:r>
      <w:r>
        <w:rPr>
          <w:rFonts w:ascii="仿宋" w:eastAsia="仿宋" w:hAnsi="仿宋" w:cs="仿宋" w:hint="eastAsia"/>
          <w:sz w:val="24"/>
          <w:szCs w:val="24"/>
        </w:rPr>
        <w:t>基金之间不能相互转换，以上基金产品的具体业务规则以各代销机构的规定为准。</w:t>
      </w:r>
    </w:p>
    <w:p w:rsidR="0001179D" w:rsidRDefault="00BD681D">
      <w:pPr>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二、咨询方式</w:t>
      </w:r>
    </w:p>
    <w:tbl>
      <w:tblPr>
        <w:tblW w:w="499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tblPr>
      <w:tblGrid>
        <w:gridCol w:w="2109"/>
        <w:gridCol w:w="2958"/>
        <w:gridCol w:w="3452"/>
      </w:tblGrid>
      <w:tr w:rsidR="0001179D">
        <w:trPr>
          <w:trHeight w:val="375"/>
        </w:trPr>
        <w:tc>
          <w:tcPr>
            <w:tcW w:w="1238" w:type="pct"/>
            <w:tcBorders>
              <w:tl2br w:val="nil"/>
              <w:tr2bl w:val="nil"/>
            </w:tcBorders>
            <w:shd w:val="clear" w:color="auto" w:fill="FFFFFF" w:themeFill="background1"/>
            <w:vAlign w:val="center"/>
          </w:tcPr>
          <w:p w:rsidR="0001179D" w:rsidRDefault="00BD681D">
            <w:pPr>
              <w:widowControl/>
              <w:jc w:val="center"/>
              <w:textAlignment w:val="center"/>
              <w:rPr>
                <w:rFonts w:ascii="仿宋" w:eastAsia="仿宋" w:hAnsi="仿宋" w:cs="仿宋"/>
                <w:color w:val="000000"/>
                <w:kern w:val="0"/>
                <w:sz w:val="22"/>
                <w:lang/>
              </w:rPr>
            </w:pPr>
            <w:r>
              <w:rPr>
                <w:rFonts w:ascii="仿宋" w:eastAsia="仿宋" w:hAnsi="仿宋" w:cs="仿宋" w:hint="eastAsia"/>
                <w:color w:val="000000"/>
                <w:kern w:val="0"/>
                <w:sz w:val="22"/>
                <w:lang/>
              </w:rPr>
              <w:t>代销机构简称</w:t>
            </w:r>
          </w:p>
        </w:tc>
        <w:tc>
          <w:tcPr>
            <w:tcW w:w="1736" w:type="pct"/>
            <w:tcBorders>
              <w:tl2br w:val="nil"/>
              <w:tr2bl w:val="nil"/>
            </w:tcBorders>
            <w:shd w:val="clear" w:color="auto" w:fill="FFFFFF" w:themeFill="background1"/>
            <w:vAlign w:val="center"/>
          </w:tcPr>
          <w:p w:rsidR="0001179D" w:rsidRDefault="00BD681D">
            <w:pPr>
              <w:widowControl/>
              <w:jc w:val="center"/>
              <w:textAlignment w:val="center"/>
              <w:rPr>
                <w:rFonts w:ascii="仿宋" w:eastAsia="仿宋" w:hAnsi="仿宋" w:cs="仿宋"/>
                <w:color w:val="000000"/>
                <w:kern w:val="0"/>
                <w:sz w:val="22"/>
                <w:lang/>
              </w:rPr>
            </w:pPr>
            <w:r>
              <w:rPr>
                <w:rFonts w:ascii="仿宋" w:eastAsia="仿宋" w:hAnsi="仿宋" w:cs="仿宋" w:hint="eastAsia"/>
                <w:color w:val="000000"/>
                <w:kern w:val="0"/>
                <w:sz w:val="22"/>
                <w:lang/>
              </w:rPr>
              <w:t>客服电话</w:t>
            </w:r>
          </w:p>
        </w:tc>
        <w:tc>
          <w:tcPr>
            <w:tcW w:w="2026" w:type="pct"/>
            <w:tcBorders>
              <w:tl2br w:val="nil"/>
              <w:tr2bl w:val="nil"/>
            </w:tcBorders>
            <w:shd w:val="clear" w:color="auto" w:fill="FFFFFF" w:themeFill="background1"/>
            <w:vAlign w:val="center"/>
          </w:tcPr>
          <w:p w:rsidR="0001179D" w:rsidRDefault="00BD681D">
            <w:pPr>
              <w:widowControl/>
              <w:jc w:val="center"/>
              <w:textAlignment w:val="center"/>
              <w:rPr>
                <w:rFonts w:ascii="仿宋" w:eastAsia="仿宋" w:hAnsi="仿宋" w:cs="仿宋"/>
                <w:color w:val="000000"/>
                <w:kern w:val="0"/>
                <w:sz w:val="22"/>
                <w:lang/>
              </w:rPr>
            </w:pPr>
            <w:r>
              <w:rPr>
                <w:rFonts w:ascii="仿宋" w:eastAsia="仿宋" w:hAnsi="仿宋" w:cs="仿宋" w:hint="eastAsia"/>
                <w:color w:val="000000"/>
                <w:kern w:val="0"/>
                <w:sz w:val="22"/>
                <w:lang/>
              </w:rPr>
              <w:t>官方网站</w:t>
            </w:r>
          </w:p>
        </w:tc>
      </w:tr>
      <w:tr w:rsidR="0001179D">
        <w:trPr>
          <w:trHeight w:val="270"/>
        </w:trPr>
        <w:tc>
          <w:tcPr>
            <w:tcW w:w="1238" w:type="pct"/>
            <w:tcBorders>
              <w:tl2br w:val="nil"/>
              <w:tr2bl w:val="nil"/>
            </w:tcBorders>
            <w:shd w:val="clear" w:color="auto" w:fill="FFFFFF" w:themeFill="background1"/>
            <w:vAlign w:val="center"/>
          </w:tcPr>
          <w:p w:rsidR="0001179D" w:rsidRDefault="00BD681D">
            <w:pPr>
              <w:widowControl/>
              <w:jc w:val="center"/>
              <w:textAlignment w:val="center"/>
              <w:rPr>
                <w:rFonts w:ascii="仿宋" w:eastAsia="仿宋" w:hAnsi="仿宋" w:cs="仿宋"/>
                <w:color w:val="000000"/>
                <w:kern w:val="0"/>
                <w:sz w:val="22"/>
                <w:lang/>
              </w:rPr>
            </w:pPr>
            <w:r>
              <w:rPr>
                <w:rFonts w:ascii="仿宋" w:eastAsia="仿宋" w:hAnsi="仿宋" w:cs="仿宋" w:hint="eastAsia"/>
                <w:color w:val="000000"/>
                <w:kern w:val="0"/>
                <w:sz w:val="22"/>
                <w:lang/>
              </w:rPr>
              <w:t>开源</w:t>
            </w:r>
            <w:r>
              <w:rPr>
                <w:rFonts w:ascii="仿宋" w:eastAsia="仿宋" w:hAnsi="仿宋" w:cs="仿宋"/>
                <w:color w:val="000000"/>
                <w:kern w:val="0"/>
                <w:sz w:val="22"/>
                <w:lang/>
              </w:rPr>
              <w:t>证券</w:t>
            </w:r>
          </w:p>
        </w:tc>
        <w:tc>
          <w:tcPr>
            <w:tcW w:w="1736" w:type="pct"/>
            <w:tcBorders>
              <w:tl2br w:val="nil"/>
              <w:tr2bl w:val="nil"/>
            </w:tcBorders>
            <w:shd w:val="clear" w:color="auto" w:fill="FFFFFF" w:themeFill="background1"/>
            <w:vAlign w:val="center"/>
          </w:tcPr>
          <w:p w:rsidR="0001179D" w:rsidRDefault="00BD681D">
            <w:pPr>
              <w:widowControl/>
              <w:jc w:val="center"/>
              <w:rPr>
                <w:rFonts w:ascii="仿宋" w:eastAsia="仿宋" w:hAnsi="仿宋" w:cs="宋体"/>
                <w:color w:val="000000"/>
                <w:kern w:val="0"/>
                <w:sz w:val="22"/>
              </w:rPr>
            </w:pPr>
            <w:r>
              <w:rPr>
                <w:rFonts w:ascii="仿宋" w:eastAsia="仿宋" w:hAnsi="仿宋" w:hint="eastAsia"/>
                <w:color w:val="000000"/>
                <w:sz w:val="22"/>
              </w:rPr>
              <w:t>95325</w:t>
            </w:r>
          </w:p>
        </w:tc>
        <w:tc>
          <w:tcPr>
            <w:tcW w:w="2026" w:type="pct"/>
            <w:tcBorders>
              <w:tl2br w:val="nil"/>
              <w:tr2bl w:val="nil"/>
            </w:tcBorders>
            <w:shd w:val="clear" w:color="auto" w:fill="FFFFFF" w:themeFill="background1"/>
            <w:noWrap/>
            <w:vAlign w:val="bottom"/>
          </w:tcPr>
          <w:p w:rsidR="0001179D" w:rsidRDefault="00BD681D">
            <w:pPr>
              <w:jc w:val="center"/>
              <w:rPr>
                <w:rFonts w:ascii="仿宋" w:eastAsia="仿宋" w:hAnsi="仿宋"/>
                <w:color w:val="000000"/>
                <w:sz w:val="22"/>
              </w:rPr>
            </w:pPr>
            <w:r>
              <w:rPr>
                <w:rFonts w:ascii="仿宋" w:eastAsia="仿宋" w:hAnsi="仿宋" w:hint="eastAsia"/>
                <w:color w:val="000000"/>
                <w:sz w:val="22"/>
              </w:rPr>
              <w:t>www.kysec.cn</w:t>
            </w:r>
          </w:p>
        </w:tc>
      </w:tr>
      <w:tr w:rsidR="0001179D">
        <w:trPr>
          <w:trHeight w:val="270"/>
        </w:trPr>
        <w:tc>
          <w:tcPr>
            <w:tcW w:w="1238" w:type="pct"/>
            <w:tcBorders>
              <w:tl2br w:val="nil"/>
              <w:tr2bl w:val="nil"/>
            </w:tcBorders>
            <w:shd w:val="clear" w:color="auto" w:fill="FFFFFF" w:themeFill="background1"/>
            <w:vAlign w:val="center"/>
          </w:tcPr>
          <w:p w:rsidR="0001179D" w:rsidRDefault="00BD681D">
            <w:pPr>
              <w:widowControl/>
              <w:jc w:val="center"/>
              <w:textAlignment w:val="center"/>
              <w:rPr>
                <w:rFonts w:ascii="仿宋" w:eastAsia="仿宋" w:hAnsi="仿宋" w:cs="仿宋"/>
                <w:color w:val="000000"/>
                <w:kern w:val="0"/>
                <w:sz w:val="22"/>
                <w:lang/>
              </w:rPr>
            </w:pPr>
            <w:r>
              <w:rPr>
                <w:rFonts w:ascii="仿宋" w:eastAsia="仿宋" w:hAnsi="仿宋" w:cs="仿宋" w:hint="eastAsia"/>
                <w:color w:val="000000"/>
                <w:kern w:val="0"/>
                <w:sz w:val="22"/>
                <w:lang/>
              </w:rPr>
              <w:t>国信证券</w:t>
            </w:r>
          </w:p>
        </w:tc>
        <w:tc>
          <w:tcPr>
            <w:tcW w:w="1736" w:type="pct"/>
            <w:tcBorders>
              <w:tl2br w:val="nil"/>
              <w:tr2bl w:val="nil"/>
            </w:tcBorders>
            <w:shd w:val="clear" w:color="auto" w:fill="FFFFFF" w:themeFill="background1"/>
            <w:vAlign w:val="center"/>
          </w:tcPr>
          <w:p w:rsidR="0001179D" w:rsidRDefault="00BD681D">
            <w:pPr>
              <w:widowControl/>
              <w:jc w:val="center"/>
              <w:rPr>
                <w:rFonts w:ascii="仿宋" w:eastAsia="仿宋" w:hAnsi="仿宋" w:cs="宋体"/>
                <w:color w:val="000000"/>
                <w:kern w:val="0"/>
                <w:sz w:val="22"/>
              </w:rPr>
            </w:pPr>
            <w:r>
              <w:rPr>
                <w:rFonts w:ascii="仿宋" w:eastAsia="仿宋" w:hAnsi="仿宋" w:hint="eastAsia"/>
                <w:color w:val="000000"/>
                <w:sz w:val="22"/>
              </w:rPr>
              <w:t>95536</w:t>
            </w:r>
          </w:p>
        </w:tc>
        <w:tc>
          <w:tcPr>
            <w:tcW w:w="2026" w:type="pct"/>
            <w:tcBorders>
              <w:tl2br w:val="nil"/>
              <w:tr2bl w:val="nil"/>
            </w:tcBorders>
            <w:shd w:val="clear" w:color="auto" w:fill="FFFFFF" w:themeFill="background1"/>
            <w:noWrap/>
            <w:vAlign w:val="bottom"/>
          </w:tcPr>
          <w:p w:rsidR="0001179D" w:rsidRDefault="00BD681D">
            <w:pPr>
              <w:jc w:val="center"/>
              <w:rPr>
                <w:rFonts w:ascii="仿宋" w:eastAsia="仿宋" w:hAnsi="仿宋"/>
                <w:color w:val="000000"/>
                <w:sz w:val="22"/>
              </w:rPr>
            </w:pPr>
            <w:r>
              <w:rPr>
                <w:rFonts w:ascii="仿宋" w:eastAsia="仿宋" w:hAnsi="仿宋" w:hint="eastAsia"/>
                <w:color w:val="000000"/>
                <w:sz w:val="22"/>
              </w:rPr>
              <w:t>www.guosen.com.cn</w:t>
            </w:r>
          </w:p>
        </w:tc>
      </w:tr>
    </w:tbl>
    <w:p w:rsidR="0001179D" w:rsidRDefault="00BD681D">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本公司旗下各基金的销售机构信息也可登录本公司官方网站（</w:t>
      </w:r>
      <w:r>
        <w:rPr>
          <w:rFonts w:ascii="仿宋" w:eastAsia="仿宋" w:hAnsi="仿宋" w:cs="仿宋" w:hint="eastAsia"/>
          <w:sz w:val="24"/>
          <w:szCs w:val="24"/>
        </w:rPr>
        <w:t>www.swsmu.com</w:t>
      </w:r>
      <w:r>
        <w:rPr>
          <w:rFonts w:ascii="仿宋" w:eastAsia="仿宋" w:hAnsi="仿宋" w:cs="仿宋" w:hint="eastAsia"/>
          <w:sz w:val="24"/>
          <w:szCs w:val="24"/>
        </w:rPr>
        <w:t>）进行查询，投资者若希望了解各基金详情，请参阅本公司发布的相关公告或可拨打本公司客服电话（</w:t>
      </w:r>
      <w:r>
        <w:rPr>
          <w:rFonts w:ascii="仿宋" w:eastAsia="仿宋" w:hAnsi="仿宋" w:cs="仿宋" w:hint="eastAsia"/>
          <w:sz w:val="24"/>
          <w:szCs w:val="24"/>
        </w:rPr>
        <w:t>400-880-8588</w:t>
      </w:r>
      <w:r>
        <w:rPr>
          <w:rFonts w:ascii="仿宋" w:eastAsia="仿宋" w:hAnsi="仿宋" w:cs="仿宋" w:hint="eastAsia"/>
          <w:sz w:val="24"/>
          <w:szCs w:val="24"/>
        </w:rPr>
        <w:t>或</w:t>
      </w:r>
      <w:r>
        <w:rPr>
          <w:rFonts w:ascii="仿宋" w:eastAsia="仿宋" w:hAnsi="仿宋" w:cs="仿宋" w:hint="eastAsia"/>
          <w:sz w:val="24"/>
          <w:szCs w:val="24"/>
        </w:rPr>
        <w:t>021-962299</w:t>
      </w:r>
      <w:r>
        <w:rPr>
          <w:rFonts w:ascii="仿宋" w:eastAsia="仿宋" w:hAnsi="仿宋" w:cs="仿宋" w:hint="eastAsia"/>
          <w:sz w:val="24"/>
          <w:szCs w:val="24"/>
        </w:rPr>
        <w:t>）进行咨询。</w:t>
      </w:r>
    </w:p>
    <w:p w:rsidR="0001179D" w:rsidRDefault="00BD681D">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欢迎广大投资者垂询、惠顾办理本公司旗下各基金的开户、认购、申购、定投、转换等相关业务。</w:t>
      </w:r>
    </w:p>
    <w:p w:rsidR="0001179D" w:rsidRDefault="00BD681D">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特此公告。</w:t>
      </w:r>
    </w:p>
    <w:p w:rsidR="0001179D" w:rsidRDefault="00BD681D">
      <w:pPr>
        <w:spacing w:line="50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申万菱信基金管理有限公司</w:t>
      </w:r>
    </w:p>
    <w:p w:rsidR="0001179D" w:rsidRDefault="00BD681D">
      <w:pPr>
        <w:spacing w:line="50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2024</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sz w:val="24"/>
          <w:szCs w:val="24"/>
        </w:rPr>
        <w:t>10</w:t>
      </w:r>
      <w:r>
        <w:rPr>
          <w:rFonts w:ascii="仿宋" w:eastAsia="仿宋" w:hAnsi="仿宋" w:cs="仿宋" w:hint="eastAsia"/>
          <w:sz w:val="24"/>
          <w:szCs w:val="24"/>
        </w:rPr>
        <w:t>日</w:t>
      </w:r>
    </w:p>
    <w:p w:rsidR="0001179D" w:rsidRDefault="0001179D">
      <w:pPr>
        <w:spacing w:line="500" w:lineRule="exact"/>
        <w:jc w:val="right"/>
        <w:rPr>
          <w:rFonts w:asciiTheme="minorEastAsia" w:hAnsiTheme="minorEastAsia"/>
          <w:sz w:val="24"/>
          <w:szCs w:val="24"/>
        </w:rPr>
      </w:pPr>
    </w:p>
    <w:sectPr w:rsidR="0001179D" w:rsidSect="0001179D">
      <w:pgSz w:w="11906" w:h="16838"/>
      <w:pgMar w:top="82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w:charset w:val="86"/>
    <w:family w:val="auto"/>
    <w:pitch w:val="default"/>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A78F3"/>
    <w:multiLevelType w:val="multilevel"/>
    <w:tmpl w:val="758A78F3"/>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mE2ZjQ3MzZhYWIzMWM4OWY2ODMyNTljMGY1ZTFiZWQifQ=="/>
  </w:docVars>
  <w:rsids>
    <w:rsidRoot w:val="00172A27"/>
    <w:rsid w:val="0001179D"/>
    <w:rsid w:val="00023BF5"/>
    <w:rsid w:val="0005384C"/>
    <w:rsid w:val="00062E5E"/>
    <w:rsid w:val="0006394B"/>
    <w:rsid w:val="00070C2C"/>
    <w:rsid w:val="0008747A"/>
    <w:rsid w:val="000A49AD"/>
    <w:rsid w:val="000B530F"/>
    <w:rsid w:val="000B62C9"/>
    <w:rsid w:val="000D53AC"/>
    <w:rsid w:val="00172A27"/>
    <w:rsid w:val="00253AF9"/>
    <w:rsid w:val="00270DD4"/>
    <w:rsid w:val="00304C74"/>
    <w:rsid w:val="003477BB"/>
    <w:rsid w:val="00363A10"/>
    <w:rsid w:val="003748D9"/>
    <w:rsid w:val="003D5218"/>
    <w:rsid w:val="003D641A"/>
    <w:rsid w:val="00462D99"/>
    <w:rsid w:val="00467228"/>
    <w:rsid w:val="004C2C5D"/>
    <w:rsid w:val="004C5270"/>
    <w:rsid w:val="004E174A"/>
    <w:rsid w:val="004F51DB"/>
    <w:rsid w:val="00502B4E"/>
    <w:rsid w:val="005119FF"/>
    <w:rsid w:val="00577226"/>
    <w:rsid w:val="005A334B"/>
    <w:rsid w:val="005D4BEE"/>
    <w:rsid w:val="006132E0"/>
    <w:rsid w:val="006166C0"/>
    <w:rsid w:val="00622BA6"/>
    <w:rsid w:val="00657E09"/>
    <w:rsid w:val="00662087"/>
    <w:rsid w:val="00675900"/>
    <w:rsid w:val="006A1924"/>
    <w:rsid w:val="006C1367"/>
    <w:rsid w:val="0071668B"/>
    <w:rsid w:val="00777F23"/>
    <w:rsid w:val="007A0644"/>
    <w:rsid w:val="007B04A5"/>
    <w:rsid w:val="007E2D28"/>
    <w:rsid w:val="00890EB2"/>
    <w:rsid w:val="008B05C7"/>
    <w:rsid w:val="008B072A"/>
    <w:rsid w:val="008C7D9E"/>
    <w:rsid w:val="00937FCA"/>
    <w:rsid w:val="00993121"/>
    <w:rsid w:val="00A305EB"/>
    <w:rsid w:val="00A56168"/>
    <w:rsid w:val="00AB6267"/>
    <w:rsid w:val="00AF6356"/>
    <w:rsid w:val="00B153C9"/>
    <w:rsid w:val="00B25E5D"/>
    <w:rsid w:val="00B44206"/>
    <w:rsid w:val="00B562EB"/>
    <w:rsid w:val="00B827CA"/>
    <w:rsid w:val="00BB0EB8"/>
    <w:rsid w:val="00BD681D"/>
    <w:rsid w:val="00BE05FC"/>
    <w:rsid w:val="00C301EB"/>
    <w:rsid w:val="00C52B7B"/>
    <w:rsid w:val="00C84140"/>
    <w:rsid w:val="00C97E58"/>
    <w:rsid w:val="00CA73A8"/>
    <w:rsid w:val="00D07CF5"/>
    <w:rsid w:val="00D51E54"/>
    <w:rsid w:val="00D565F2"/>
    <w:rsid w:val="00D81F61"/>
    <w:rsid w:val="00DB2266"/>
    <w:rsid w:val="00DB550B"/>
    <w:rsid w:val="00DF2B34"/>
    <w:rsid w:val="00E25011"/>
    <w:rsid w:val="00E460F9"/>
    <w:rsid w:val="00E55787"/>
    <w:rsid w:val="00E72DB5"/>
    <w:rsid w:val="00EA238D"/>
    <w:rsid w:val="00EC4B43"/>
    <w:rsid w:val="00ED6FF1"/>
    <w:rsid w:val="00EE5D6B"/>
    <w:rsid w:val="00EF046C"/>
    <w:rsid w:val="00F0654A"/>
    <w:rsid w:val="00F06A67"/>
    <w:rsid w:val="00F62DC9"/>
    <w:rsid w:val="00F63CC8"/>
    <w:rsid w:val="00F77FB0"/>
    <w:rsid w:val="00FA0BD7"/>
    <w:rsid w:val="00FB2DE2"/>
    <w:rsid w:val="121B6930"/>
    <w:rsid w:val="2CC359C5"/>
    <w:rsid w:val="373A24CE"/>
    <w:rsid w:val="3D1A021A"/>
    <w:rsid w:val="3ED1739E"/>
    <w:rsid w:val="4FD63A9A"/>
    <w:rsid w:val="4FD801A9"/>
    <w:rsid w:val="67A4164A"/>
    <w:rsid w:val="72C05B47"/>
    <w:rsid w:val="74C14001"/>
    <w:rsid w:val="76473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1179D"/>
    <w:pPr>
      <w:jc w:val="left"/>
    </w:pPr>
  </w:style>
  <w:style w:type="paragraph" w:styleId="a4">
    <w:name w:val="Balloon Text"/>
    <w:basedOn w:val="a"/>
    <w:link w:val="Char0"/>
    <w:uiPriority w:val="99"/>
    <w:semiHidden/>
    <w:unhideWhenUsed/>
    <w:qFormat/>
    <w:rsid w:val="0001179D"/>
    <w:rPr>
      <w:sz w:val="18"/>
      <w:szCs w:val="18"/>
    </w:rPr>
  </w:style>
  <w:style w:type="paragraph" w:styleId="a5">
    <w:name w:val="footer"/>
    <w:basedOn w:val="a"/>
    <w:link w:val="Char1"/>
    <w:uiPriority w:val="99"/>
    <w:unhideWhenUsed/>
    <w:qFormat/>
    <w:rsid w:val="0001179D"/>
    <w:pPr>
      <w:tabs>
        <w:tab w:val="center" w:pos="4153"/>
        <w:tab w:val="right" w:pos="8306"/>
      </w:tabs>
      <w:snapToGrid w:val="0"/>
      <w:jc w:val="left"/>
    </w:pPr>
    <w:rPr>
      <w:sz w:val="18"/>
      <w:szCs w:val="18"/>
    </w:rPr>
  </w:style>
  <w:style w:type="paragraph" w:styleId="a6">
    <w:name w:val="header"/>
    <w:basedOn w:val="a"/>
    <w:link w:val="Char2"/>
    <w:uiPriority w:val="99"/>
    <w:unhideWhenUsed/>
    <w:rsid w:val="0001179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01179D"/>
    <w:rPr>
      <w:b/>
      <w:bCs/>
    </w:rPr>
  </w:style>
  <w:style w:type="table" w:styleId="a8">
    <w:name w:val="Table Grid"/>
    <w:basedOn w:val="a1"/>
    <w:uiPriority w:val="59"/>
    <w:qFormat/>
    <w:rsid w:val="00011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qFormat/>
    <w:rsid w:val="0001179D"/>
    <w:rPr>
      <w:color w:val="0000FF" w:themeColor="hyperlink"/>
      <w:u w:val="single"/>
    </w:rPr>
  </w:style>
  <w:style w:type="character" w:styleId="aa">
    <w:name w:val="annotation reference"/>
    <w:basedOn w:val="a0"/>
    <w:uiPriority w:val="99"/>
    <w:semiHidden/>
    <w:unhideWhenUsed/>
    <w:qFormat/>
    <w:rsid w:val="0001179D"/>
    <w:rPr>
      <w:sz w:val="21"/>
      <w:szCs w:val="21"/>
    </w:rPr>
  </w:style>
  <w:style w:type="character" w:customStyle="1" w:styleId="Char2">
    <w:name w:val="页眉 Char"/>
    <w:basedOn w:val="a0"/>
    <w:link w:val="a6"/>
    <w:uiPriority w:val="99"/>
    <w:qFormat/>
    <w:rsid w:val="0001179D"/>
    <w:rPr>
      <w:sz w:val="18"/>
      <w:szCs w:val="18"/>
    </w:rPr>
  </w:style>
  <w:style w:type="character" w:customStyle="1" w:styleId="Char1">
    <w:name w:val="页脚 Char"/>
    <w:basedOn w:val="a0"/>
    <w:link w:val="a5"/>
    <w:uiPriority w:val="99"/>
    <w:qFormat/>
    <w:rsid w:val="0001179D"/>
    <w:rPr>
      <w:sz w:val="18"/>
      <w:szCs w:val="18"/>
    </w:rPr>
  </w:style>
  <w:style w:type="paragraph" w:styleId="ab">
    <w:name w:val="List Paragraph"/>
    <w:basedOn w:val="a"/>
    <w:uiPriority w:val="34"/>
    <w:qFormat/>
    <w:rsid w:val="0001179D"/>
    <w:pPr>
      <w:ind w:firstLineChars="200" w:firstLine="420"/>
    </w:pPr>
  </w:style>
  <w:style w:type="character" w:customStyle="1" w:styleId="Char">
    <w:name w:val="批注文字 Char"/>
    <w:basedOn w:val="a0"/>
    <w:link w:val="a3"/>
    <w:uiPriority w:val="99"/>
    <w:semiHidden/>
    <w:qFormat/>
    <w:rsid w:val="0001179D"/>
  </w:style>
  <w:style w:type="character" w:customStyle="1" w:styleId="Char3">
    <w:name w:val="批注主题 Char"/>
    <w:basedOn w:val="Char"/>
    <w:link w:val="a7"/>
    <w:uiPriority w:val="99"/>
    <w:semiHidden/>
    <w:qFormat/>
    <w:rsid w:val="0001179D"/>
    <w:rPr>
      <w:b/>
      <w:bCs/>
    </w:rPr>
  </w:style>
  <w:style w:type="character" w:customStyle="1" w:styleId="Char0">
    <w:name w:val="批注框文本 Char"/>
    <w:basedOn w:val="a0"/>
    <w:link w:val="a4"/>
    <w:uiPriority w:val="99"/>
    <w:semiHidden/>
    <w:qFormat/>
    <w:rsid w:val="0001179D"/>
    <w:rPr>
      <w:sz w:val="18"/>
      <w:szCs w:val="18"/>
    </w:rPr>
  </w:style>
  <w:style w:type="paragraph" w:customStyle="1" w:styleId="1">
    <w:name w:val="修订1"/>
    <w:hidden/>
    <w:uiPriority w:val="99"/>
    <w:semiHidden/>
    <w:qFormat/>
    <w:rsid w:val="0001179D"/>
    <w:rPr>
      <w:rFonts w:asciiTheme="minorHAnsi" w:eastAsiaTheme="minorEastAsia" w:hAnsiTheme="minorHAnsi" w:cstheme="minorBidi"/>
      <w:kern w:val="2"/>
      <w:sz w:val="21"/>
      <w:szCs w:val="22"/>
    </w:rPr>
  </w:style>
  <w:style w:type="paragraph" w:customStyle="1" w:styleId="Default">
    <w:name w:val="Default"/>
    <w:uiPriority w:val="99"/>
    <w:unhideWhenUsed/>
    <w:qFormat/>
    <w:rsid w:val="0001179D"/>
    <w:pPr>
      <w:widowControl w:val="0"/>
      <w:autoSpaceDE w:val="0"/>
      <w:autoSpaceDN w:val="0"/>
      <w:adjustRightInd w:val="0"/>
    </w:pPr>
    <w:rPr>
      <w:rFonts w:ascii="宋体" w:hAnsi="宋体"/>
      <w:color w:val="000000"/>
      <w:sz w:val="24"/>
      <w:szCs w:val="24"/>
    </w:rPr>
  </w:style>
  <w:style w:type="character" w:customStyle="1" w:styleId="font31">
    <w:name w:val="font31"/>
    <w:basedOn w:val="a0"/>
    <w:rsid w:val="0001179D"/>
    <w:rPr>
      <w:rFonts w:ascii="等线" w:eastAsia="等线" w:hAnsi="等线" w:cs="等线" w:hint="eastAsia"/>
      <w:color w:val="000000"/>
      <w:sz w:val="21"/>
      <w:szCs w:val="21"/>
      <w:u w:val="none"/>
    </w:rPr>
  </w:style>
  <w:style w:type="character" w:customStyle="1" w:styleId="font11">
    <w:name w:val="font11"/>
    <w:basedOn w:val="a0"/>
    <w:rsid w:val="0001179D"/>
    <w:rPr>
      <w:rFonts w:ascii="宋体" w:eastAsia="宋体" w:hAnsi="宋体" w:hint="eastAsia"/>
      <w:b/>
      <w:bCs/>
      <w:color w:val="000000"/>
      <w:sz w:val="20"/>
      <w:szCs w:val="20"/>
      <w:u w:val="none"/>
    </w:rPr>
  </w:style>
  <w:style w:type="character" w:customStyle="1" w:styleId="font01">
    <w:name w:val="font01"/>
    <w:basedOn w:val="a0"/>
    <w:rsid w:val="0001179D"/>
    <w:rPr>
      <w:rFonts w:ascii="Arial" w:hAnsi="Arial" w:cs="Arial" w:hint="default"/>
      <w:color w:val="000000"/>
      <w:sz w:val="20"/>
      <w:szCs w:val="20"/>
      <w:u w:val="none"/>
    </w:rPr>
  </w:style>
  <w:style w:type="character" w:customStyle="1" w:styleId="font21">
    <w:name w:val="font21"/>
    <w:basedOn w:val="a0"/>
    <w:rsid w:val="0001179D"/>
    <w:rPr>
      <w:rFonts w:ascii="宋体" w:eastAsia="宋体" w:hAnsi="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1603</Characters>
  <Application>Microsoft Office Word</Application>
  <DocSecurity>4</DocSecurity>
  <Lines>13</Lines>
  <Paragraphs>3</Paragraphs>
  <ScaleCrop>false</ScaleCrop>
  <Company>Microsoft</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2024-05-09T16:00:00Z</dcterms:created>
  <dcterms:modified xsi:type="dcterms:W3CDTF">2024-05-09T16:00:00Z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8BB0D092DDBA41518F65E480B166EAD4_13</vt:lpwstr>
  </property>
</Properties>
</file>