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37F8">
      <w:pPr>
        <w:pStyle w:val="1"/>
        <w:widowControl/>
        <w:shd w:val="clear" w:color="auto" w:fill="FFFFFF"/>
        <w:spacing w:before="0" w:beforeAutospacing="0" w:after="0" w:afterAutospacing="0" w:line="360" w:lineRule="auto"/>
        <w:jc w:val="center"/>
        <w:rPr>
          <w:rFonts w:ascii="黑体" w:eastAsia="黑体" w:hAnsi="黑体" w:cs="黑体"/>
          <w:color w:val="191919"/>
          <w:sz w:val="28"/>
          <w:szCs w:val="28"/>
        </w:rPr>
      </w:pPr>
      <w:r>
        <w:rPr>
          <w:rFonts w:ascii="黑体" w:eastAsia="黑体" w:hAnsi="黑体" w:cs="黑体"/>
          <w:color w:val="191919"/>
          <w:sz w:val="28"/>
          <w:szCs w:val="28"/>
          <w:shd w:val="clear" w:color="auto" w:fill="FFFFFF"/>
        </w:rPr>
        <w:t>东吴</w:t>
      </w:r>
      <w:r>
        <w:rPr>
          <w:rFonts w:ascii="黑体" w:eastAsia="黑体" w:hAnsi="黑体" w:cs="黑体"/>
          <w:color w:val="191919"/>
          <w:sz w:val="28"/>
          <w:szCs w:val="28"/>
          <w:shd w:val="clear" w:color="auto" w:fill="FFFFFF"/>
        </w:rPr>
        <w:t>基金管理有限公司关于在平安证券股份有限公司</w:t>
      </w:r>
      <w:r>
        <w:rPr>
          <w:rFonts w:ascii="黑体" w:eastAsia="黑体" w:hAnsi="黑体" w:cs="黑体"/>
          <w:color w:val="191919"/>
          <w:sz w:val="28"/>
          <w:szCs w:val="28"/>
          <w:shd w:val="clear" w:color="auto" w:fill="FFFFFF"/>
        </w:rPr>
        <w:t>APP</w:t>
      </w:r>
      <w:r>
        <w:rPr>
          <w:rFonts w:ascii="黑体" w:eastAsia="黑体" w:hAnsi="黑体" w:cs="黑体"/>
          <w:color w:val="191919"/>
          <w:sz w:val="28"/>
          <w:szCs w:val="28"/>
          <w:shd w:val="clear" w:color="auto" w:fill="FFFFFF"/>
        </w:rPr>
        <w:t>渠道</w:t>
      </w:r>
      <w:r>
        <w:rPr>
          <w:rFonts w:ascii="黑体" w:eastAsia="黑体" w:hAnsi="黑体" w:cs="黑体"/>
          <w:color w:val="191919"/>
          <w:sz w:val="28"/>
          <w:szCs w:val="28"/>
          <w:shd w:val="clear" w:color="auto" w:fill="FFFFFF"/>
        </w:rPr>
        <w:t>开通东吴货币市场证券投资基金</w:t>
      </w:r>
      <w:r>
        <w:rPr>
          <w:rFonts w:ascii="黑体" w:eastAsia="黑体" w:hAnsi="黑体" w:cs="黑体"/>
          <w:color w:val="191919"/>
          <w:sz w:val="28"/>
          <w:szCs w:val="28"/>
          <w:shd w:val="clear" w:color="auto" w:fill="FFFFFF"/>
        </w:rPr>
        <w:t>A</w:t>
      </w:r>
      <w:r>
        <w:rPr>
          <w:rFonts w:ascii="黑体" w:eastAsia="黑体" w:hAnsi="黑体" w:cs="黑体"/>
          <w:color w:val="191919"/>
          <w:sz w:val="28"/>
          <w:szCs w:val="28"/>
          <w:shd w:val="clear" w:color="auto" w:fill="FFFFFF"/>
        </w:rPr>
        <w:t>级、东吴增鑫宝货币市场基金</w:t>
      </w:r>
      <w:r>
        <w:rPr>
          <w:rFonts w:ascii="黑体" w:eastAsia="黑体" w:hAnsi="黑体" w:cs="黑体"/>
          <w:color w:val="191919"/>
          <w:sz w:val="28"/>
          <w:szCs w:val="28"/>
          <w:shd w:val="clear" w:color="auto" w:fill="FFFFFF"/>
        </w:rPr>
        <w:t>A</w:t>
      </w:r>
      <w:r>
        <w:rPr>
          <w:rFonts w:ascii="黑体" w:eastAsia="黑体" w:hAnsi="黑体" w:cs="黑体"/>
          <w:color w:val="191919"/>
          <w:sz w:val="28"/>
          <w:szCs w:val="28"/>
          <w:shd w:val="clear" w:color="auto" w:fill="FFFFFF"/>
        </w:rPr>
        <w:t>类</w:t>
      </w:r>
      <w:r>
        <w:rPr>
          <w:rFonts w:ascii="黑体" w:eastAsia="黑体" w:hAnsi="黑体" w:cs="黑体"/>
          <w:color w:val="191919"/>
          <w:sz w:val="28"/>
          <w:szCs w:val="28"/>
          <w:shd w:val="clear" w:color="auto" w:fill="FFFFFF"/>
        </w:rPr>
        <w:t>“</w:t>
      </w:r>
      <w:r>
        <w:rPr>
          <w:rFonts w:ascii="黑体" w:eastAsia="黑体" w:hAnsi="黑体" w:cs="黑体"/>
          <w:color w:val="191919"/>
          <w:sz w:val="28"/>
          <w:szCs w:val="28"/>
          <w:shd w:val="clear" w:color="auto" w:fill="FFFFFF"/>
        </w:rPr>
        <w:t>T+0</w:t>
      </w:r>
      <w:r>
        <w:rPr>
          <w:rFonts w:ascii="黑体" w:eastAsia="黑体" w:hAnsi="黑体" w:cs="黑体"/>
          <w:color w:val="191919"/>
          <w:sz w:val="28"/>
          <w:szCs w:val="28"/>
          <w:shd w:val="clear" w:color="auto" w:fill="FFFFFF"/>
        </w:rPr>
        <w:t>快速赎回业务”的公告</w:t>
      </w:r>
    </w:p>
    <w:p w:rsidR="00000000" w:rsidRDefault="00C837F8">
      <w:pPr>
        <w:jc w:val="left"/>
        <w:rPr>
          <w:rFonts w:ascii="Times New Roman" w:hAnsi="Times New Roman" w:hint="eastAsia"/>
        </w:rPr>
      </w:pPr>
    </w:p>
    <w:p w:rsidR="00000000" w:rsidRDefault="00C837F8">
      <w:pPr>
        <w:jc w:val="left"/>
        <w:rPr>
          <w:rFonts w:ascii="Times New Roman" w:hAnsi="Times New Roman" w:hint="eastAsia"/>
        </w:rPr>
      </w:pPr>
    </w:p>
    <w:p w:rsidR="00000000" w:rsidRDefault="00C837F8">
      <w:pPr>
        <w:spacing w:line="360" w:lineRule="auto"/>
        <w:ind w:firstLineChars="200" w:firstLine="420"/>
        <w:jc w:val="left"/>
        <w:rPr>
          <w:rFonts w:ascii="Times New Roman" w:hAnsi="Times New Roman" w:cs="宋体" w:hint="eastAsia"/>
          <w:szCs w:val="21"/>
        </w:rPr>
      </w:pPr>
      <w:r>
        <w:rPr>
          <w:rFonts w:ascii="Times New Roman" w:hAnsi="Times New Roman" w:cs="宋体" w:hint="eastAsia"/>
          <w:szCs w:val="21"/>
        </w:rPr>
        <w:t>为了满足投资者资金的快速周转需求，提升资金使用效率，</w:t>
      </w:r>
      <w:r>
        <w:rPr>
          <w:rFonts w:ascii="Times New Roman" w:hAnsi="Times New Roman" w:cs="宋体" w:hint="eastAsia"/>
          <w:szCs w:val="21"/>
        </w:rPr>
        <w:t>东吴基金管理有限公司（</w:t>
      </w:r>
      <w:r>
        <w:rPr>
          <w:rFonts w:ascii="Times New Roman" w:hAnsi="Times New Roman" w:cs="宋体" w:hint="eastAsia"/>
          <w:szCs w:val="21"/>
        </w:rPr>
        <w:t>以下简称“本公司”</w:t>
      </w:r>
      <w:r>
        <w:rPr>
          <w:rFonts w:ascii="Times New Roman" w:hAnsi="Times New Roman" w:cs="宋体" w:hint="eastAsia"/>
          <w:szCs w:val="21"/>
        </w:rPr>
        <w:t>）</w:t>
      </w:r>
      <w:r>
        <w:rPr>
          <w:rFonts w:ascii="Times New Roman" w:hAnsi="Times New Roman" w:cs="宋体" w:hint="eastAsia"/>
          <w:szCs w:val="21"/>
        </w:rPr>
        <w:t>与平安证券股份有限公司</w:t>
      </w:r>
      <w:r>
        <w:rPr>
          <w:rFonts w:ascii="Times New Roman" w:hAnsi="Times New Roman" w:cs="宋体" w:hint="eastAsia"/>
          <w:szCs w:val="21"/>
        </w:rPr>
        <w:t>（</w:t>
      </w:r>
      <w:r>
        <w:rPr>
          <w:rFonts w:ascii="Times New Roman" w:hAnsi="Times New Roman" w:cs="宋体" w:hint="eastAsia"/>
          <w:szCs w:val="21"/>
        </w:rPr>
        <w:t>以下简称“</w:t>
      </w:r>
      <w:r>
        <w:rPr>
          <w:rFonts w:ascii="Times New Roman" w:hAnsi="Times New Roman" w:cs="宋体" w:hint="eastAsia"/>
          <w:szCs w:val="21"/>
        </w:rPr>
        <w:t>平安证券</w:t>
      </w:r>
      <w:r>
        <w:rPr>
          <w:rFonts w:ascii="Times New Roman" w:hAnsi="Times New Roman" w:cs="宋体" w:hint="eastAsia"/>
          <w:szCs w:val="21"/>
        </w:rPr>
        <w:t>”</w:t>
      </w:r>
      <w:r>
        <w:rPr>
          <w:rFonts w:ascii="Times New Roman" w:hAnsi="Times New Roman" w:cs="宋体" w:hint="eastAsia"/>
          <w:szCs w:val="21"/>
        </w:rPr>
        <w:t>）</w:t>
      </w:r>
      <w:r>
        <w:rPr>
          <w:rFonts w:ascii="Times New Roman" w:hAnsi="Times New Roman" w:cs="宋体" w:hint="eastAsia"/>
          <w:szCs w:val="21"/>
        </w:rPr>
        <w:t>合作自</w:t>
      </w:r>
      <w:r>
        <w:rPr>
          <w:rFonts w:ascii="Times New Roman" w:hAnsi="Times New Roman" w:cs="宋体" w:hint="eastAsia"/>
          <w:szCs w:val="21"/>
        </w:rPr>
        <w:t>2024</w:t>
      </w:r>
      <w:r>
        <w:rPr>
          <w:rFonts w:ascii="Times New Roman" w:hAnsi="Times New Roman" w:cs="宋体" w:hint="eastAsia"/>
          <w:szCs w:val="21"/>
        </w:rPr>
        <w:t>年</w:t>
      </w:r>
      <w:r>
        <w:rPr>
          <w:rFonts w:ascii="Times New Roman" w:hAnsi="Times New Roman" w:cs="宋体" w:hint="eastAsia"/>
          <w:szCs w:val="21"/>
        </w:rPr>
        <w:t>5</w:t>
      </w:r>
      <w:r>
        <w:rPr>
          <w:rFonts w:ascii="Times New Roman" w:hAnsi="Times New Roman" w:cs="宋体" w:hint="eastAsia"/>
          <w:szCs w:val="21"/>
        </w:rPr>
        <w:t>月</w:t>
      </w:r>
      <w:r>
        <w:rPr>
          <w:rFonts w:ascii="Times New Roman" w:hAnsi="Times New Roman" w:cs="宋体" w:hint="eastAsia"/>
          <w:szCs w:val="21"/>
        </w:rPr>
        <w:t>7</w:t>
      </w:r>
      <w:r>
        <w:rPr>
          <w:rFonts w:ascii="Times New Roman" w:hAnsi="Times New Roman" w:cs="宋体" w:hint="eastAsia"/>
          <w:szCs w:val="21"/>
        </w:rPr>
        <w:t>日</w:t>
      </w:r>
      <w:r>
        <w:rPr>
          <w:rFonts w:ascii="Times New Roman" w:hAnsi="Times New Roman" w:cs="宋体" w:hint="eastAsia"/>
          <w:szCs w:val="21"/>
        </w:rPr>
        <w:t>起，在</w:t>
      </w:r>
      <w:r>
        <w:rPr>
          <w:rFonts w:ascii="Times New Roman" w:hAnsi="Times New Roman" w:cs="宋体" w:hint="eastAsia"/>
          <w:szCs w:val="21"/>
        </w:rPr>
        <w:t>平安证券</w:t>
      </w:r>
      <w:r>
        <w:rPr>
          <w:rFonts w:ascii="Times New Roman" w:hAnsi="Times New Roman" w:cs="宋体" w:hint="eastAsia"/>
          <w:szCs w:val="21"/>
        </w:rPr>
        <w:t>APP</w:t>
      </w:r>
      <w:r>
        <w:rPr>
          <w:rFonts w:ascii="Times New Roman" w:hAnsi="Times New Roman" w:cs="宋体" w:hint="eastAsia"/>
          <w:szCs w:val="21"/>
        </w:rPr>
        <w:t>渠道</w:t>
      </w:r>
      <w:r>
        <w:rPr>
          <w:rFonts w:ascii="Times New Roman" w:hAnsi="Times New Roman" w:cs="宋体" w:hint="eastAsia"/>
          <w:szCs w:val="21"/>
        </w:rPr>
        <w:t>推出东吴货币市场证券投资基金</w:t>
      </w:r>
      <w:r>
        <w:rPr>
          <w:rFonts w:ascii="Times New Roman" w:hAnsi="Times New Roman" w:cs="宋体" w:hint="eastAsia"/>
          <w:szCs w:val="21"/>
        </w:rPr>
        <w:t>A</w:t>
      </w:r>
      <w:r>
        <w:rPr>
          <w:rFonts w:ascii="Times New Roman" w:hAnsi="Times New Roman" w:cs="宋体" w:hint="eastAsia"/>
          <w:szCs w:val="21"/>
        </w:rPr>
        <w:t>级</w:t>
      </w:r>
      <w:r>
        <w:rPr>
          <w:rFonts w:ascii="Times New Roman" w:hAnsi="Times New Roman" w:cs="宋体" w:hint="eastAsia"/>
          <w:szCs w:val="21"/>
        </w:rPr>
        <w:t>、东吴增鑫宝货币市场基金</w:t>
      </w:r>
      <w:r>
        <w:rPr>
          <w:rFonts w:ascii="Times New Roman" w:hAnsi="Times New Roman" w:cs="宋体" w:hint="eastAsia"/>
          <w:szCs w:val="21"/>
        </w:rPr>
        <w:t>A</w:t>
      </w:r>
      <w:r>
        <w:rPr>
          <w:rFonts w:ascii="Times New Roman" w:hAnsi="Times New Roman" w:cs="宋体" w:hint="eastAsia"/>
          <w:szCs w:val="21"/>
        </w:rPr>
        <w:t>类</w:t>
      </w:r>
      <w:r>
        <w:rPr>
          <w:rFonts w:ascii="Times New Roman" w:hAnsi="Times New Roman" w:cs="宋体" w:hint="eastAsia"/>
          <w:szCs w:val="21"/>
        </w:rPr>
        <w:t>（</w:t>
      </w:r>
      <w:r>
        <w:rPr>
          <w:rFonts w:ascii="Times New Roman" w:hAnsi="Times New Roman" w:cs="宋体" w:hint="eastAsia"/>
          <w:szCs w:val="21"/>
        </w:rPr>
        <w:t>以下简称</w:t>
      </w:r>
      <w:r>
        <w:rPr>
          <w:rFonts w:ascii="Times New Roman" w:hAnsi="Times New Roman" w:cs="宋体" w:hint="eastAsia"/>
          <w:szCs w:val="21"/>
        </w:rPr>
        <w:t>“东吴货币</w:t>
      </w:r>
      <w:r>
        <w:rPr>
          <w:rFonts w:ascii="Times New Roman" w:hAnsi="Times New Roman" w:cs="宋体" w:hint="eastAsia"/>
          <w:szCs w:val="21"/>
        </w:rPr>
        <w:t>A</w:t>
      </w:r>
      <w:r>
        <w:rPr>
          <w:rFonts w:ascii="Times New Roman" w:hAnsi="Times New Roman" w:cs="宋体" w:hint="eastAsia"/>
          <w:szCs w:val="21"/>
        </w:rPr>
        <w:t>”、“东吴增鑫宝货币</w:t>
      </w:r>
      <w:r>
        <w:rPr>
          <w:rFonts w:ascii="Times New Roman" w:hAnsi="Times New Roman" w:cs="宋体" w:hint="eastAsia"/>
          <w:szCs w:val="21"/>
        </w:rPr>
        <w:t>A</w:t>
      </w:r>
      <w:r>
        <w:rPr>
          <w:rFonts w:ascii="Times New Roman" w:hAnsi="Times New Roman" w:cs="宋体" w:hint="eastAsia"/>
          <w:szCs w:val="21"/>
        </w:rPr>
        <w:t>”</w:t>
      </w:r>
      <w:r>
        <w:rPr>
          <w:rFonts w:ascii="Times New Roman" w:hAnsi="Times New Roman" w:cs="宋体" w:hint="eastAsia"/>
          <w:szCs w:val="21"/>
        </w:rPr>
        <w:t>或“货币基金”</w:t>
      </w:r>
      <w:r>
        <w:rPr>
          <w:rFonts w:ascii="Times New Roman" w:hAnsi="Times New Roman" w:cs="宋体" w:hint="eastAsia"/>
          <w:szCs w:val="21"/>
        </w:rPr>
        <w:t>）</w:t>
      </w:r>
      <w:r>
        <w:rPr>
          <w:rFonts w:ascii="Times New Roman" w:hAnsi="Times New Roman" w:cs="宋体" w:hint="eastAsia"/>
          <w:szCs w:val="21"/>
        </w:rPr>
        <w:t>的</w:t>
      </w:r>
      <w:r>
        <w:rPr>
          <w:rFonts w:ascii="Times New Roman" w:hAnsi="Times New Roman" w:cs="宋体" w:hint="eastAsia"/>
          <w:szCs w:val="21"/>
        </w:rPr>
        <w:t>T+0</w:t>
      </w:r>
      <w:r>
        <w:rPr>
          <w:rFonts w:ascii="Times New Roman" w:hAnsi="Times New Roman" w:cs="宋体" w:hint="eastAsia"/>
          <w:szCs w:val="21"/>
        </w:rPr>
        <w:t>快速赎回业务</w:t>
      </w:r>
      <w:r>
        <w:rPr>
          <w:rFonts w:ascii="Times New Roman" w:hAnsi="Times New Roman" w:cs="宋体" w:hint="eastAsia"/>
          <w:szCs w:val="21"/>
        </w:rPr>
        <w:t>（</w:t>
      </w:r>
      <w:r>
        <w:rPr>
          <w:rFonts w:ascii="Times New Roman" w:hAnsi="Times New Roman" w:cs="宋体" w:hint="eastAsia"/>
          <w:szCs w:val="21"/>
        </w:rPr>
        <w:t>以下简称“快速赎回业务”</w:t>
      </w:r>
      <w:r>
        <w:rPr>
          <w:rFonts w:ascii="Times New Roman" w:hAnsi="Times New Roman" w:cs="宋体" w:hint="eastAsia"/>
          <w:szCs w:val="21"/>
        </w:rPr>
        <w:t>）</w:t>
      </w:r>
      <w:r>
        <w:rPr>
          <w:rFonts w:ascii="Times New Roman" w:hAnsi="Times New Roman" w:cs="宋体" w:hint="eastAsia"/>
          <w:szCs w:val="21"/>
        </w:rPr>
        <w:t>，现</w:t>
      </w:r>
      <w:r>
        <w:rPr>
          <w:rFonts w:ascii="Times New Roman" w:hAnsi="Times New Roman" w:cs="宋体" w:hint="eastAsia"/>
          <w:szCs w:val="21"/>
        </w:rPr>
        <w:t>将有关事项公告如下：</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一、快速赎回业务</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快速赎回业务是指根据投资者与</w:t>
      </w:r>
      <w:r>
        <w:rPr>
          <w:rFonts w:ascii="Times New Roman" w:hAnsi="Times New Roman" w:cs="宋体" w:hint="eastAsia"/>
          <w:szCs w:val="21"/>
        </w:rPr>
        <w:t>平安证券</w:t>
      </w:r>
      <w:r>
        <w:rPr>
          <w:rFonts w:ascii="Times New Roman" w:hAnsi="Times New Roman" w:cs="宋体" w:hint="eastAsia"/>
          <w:szCs w:val="21"/>
        </w:rPr>
        <w:t>签署的增值服务协议等配套</w:t>
      </w:r>
      <w:r>
        <w:rPr>
          <w:rFonts w:ascii="Times New Roman" w:hAnsi="Times New Roman" w:cs="宋体" w:hint="eastAsia"/>
          <w:szCs w:val="21"/>
        </w:rPr>
        <w:t>协议</w:t>
      </w:r>
      <w:r>
        <w:rPr>
          <w:rFonts w:ascii="Times New Roman" w:hAnsi="Times New Roman" w:cs="宋体" w:hint="eastAsia"/>
          <w:szCs w:val="21"/>
        </w:rPr>
        <w:t>的约定，本公司与</w:t>
      </w:r>
      <w:r>
        <w:rPr>
          <w:rFonts w:ascii="Times New Roman" w:hAnsi="Times New Roman" w:cs="宋体" w:hint="eastAsia"/>
          <w:szCs w:val="21"/>
        </w:rPr>
        <w:t>平安证券</w:t>
      </w:r>
      <w:r>
        <w:rPr>
          <w:rFonts w:ascii="Times New Roman" w:hAnsi="Times New Roman" w:cs="宋体" w:hint="eastAsia"/>
          <w:szCs w:val="21"/>
        </w:rPr>
        <w:t>合作共同为投资者提供的流动性支持</w:t>
      </w:r>
      <w:r>
        <w:rPr>
          <w:rFonts w:ascii="Times New Roman" w:hAnsi="Times New Roman" w:cs="宋体" w:hint="eastAsia"/>
          <w:szCs w:val="21"/>
        </w:rPr>
        <w:t>增值</w:t>
      </w:r>
      <w:r>
        <w:rPr>
          <w:rFonts w:ascii="Times New Roman" w:hAnsi="Times New Roman" w:cs="宋体" w:hint="eastAsia"/>
          <w:szCs w:val="21"/>
        </w:rPr>
        <w:t>服务。</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二、适用范围</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本业务适用的基金范围为</w:t>
      </w:r>
      <w:r>
        <w:rPr>
          <w:rFonts w:ascii="Times New Roman" w:hAnsi="Times New Roman" w:cs="宋体" w:hint="eastAsia"/>
          <w:szCs w:val="21"/>
        </w:rPr>
        <w:t>东吴货币</w:t>
      </w:r>
      <w:r>
        <w:rPr>
          <w:rFonts w:ascii="Times New Roman" w:hAnsi="Times New Roman" w:cs="宋体" w:hint="eastAsia"/>
          <w:szCs w:val="21"/>
        </w:rPr>
        <w:t>A</w:t>
      </w:r>
      <w:r>
        <w:rPr>
          <w:rFonts w:ascii="Times New Roman" w:hAnsi="Times New Roman" w:cs="宋体" w:hint="eastAsia"/>
          <w:szCs w:val="21"/>
        </w:rPr>
        <w:t>（基金代码：</w:t>
      </w:r>
      <w:r>
        <w:rPr>
          <w:rFonts w:ascii="Times New Roman" w:hAnsi="Times New Roman" w:cs="宋体" w:hint="eastAsia"/>
          <w:szCs w:val="21"/>
        </w:rPr>
        <w:t>583001</w:t>
      </w:r>
      <w:r>
        <w:rPr>
          <w:rFonts w:ascii="Times New Roman" w:hAnsi="Times New Roman" w:cs="宋体" w:hint="eastAsia"/>
          <w:szCs w:val="21"/>
        </w:rPr>
        <w:t>）、</w:t>
      </w:r>
      <w:r>
        <w:rPr>
          <w:rFonts w:ascii="Times New Roman" w:hAnsi="Times New Roman" w:cs="宋体" w:hint="eastAsia"/>
          <w:szCs w:val="21"/>
        </w:rPr>
        <w:t>东吴</w:t>
      </w:r>
      <w:r>
        <w:rPr>
          <w:rFonts w:ascii="Times New Roman" w:hAnsi="Times New Roman" w:cs="宋体" w:hint="eastAsia"/>
          <w:szCs w:val="21"/>
        </w:rPr>
        <w:t>增鑫宝</w:t>
      </w:r>
      <w:r>
        <w:rPr>
          <w:rFonts w:ascii="Times New Roman" w:hAnsi="Times New Roman" w:cs="宋体" w:hint="eastAsia"/>
          <w:szCs w:val="21"/>
        </w:rPr>
        <w:t>货币</w:t>
      </w:r>
      <w:r>
        <w:rPr>
          <w:rFonts w:ascii="Times New Roman" w:hAnsi="Times New Roman" w:cs="宋体" w:hint="eastAsia"/>
          <w:szCs w:val="21"/>
        </w:rPr>
        <w:t>A</w:t>
      </w:r>
      <w:r>
        <w:rPr>
          <w:rFonts w:ascii="Times New Roman" w:hAnsi="Times New Roman" w:cs="宋体" w:hint="eastAsia"/>
          <w:szCs w:val="21"/>
        </w:rPr>
        <w:t>（基金代码：</w:t>
      </w:r>
      <w:r>
        <w:rPr>
          <w:rFonts w:ascii="Times New Roman" w:hAnsi="Times New Roman" w:cs="宋体" w:hint="eastAsia"/>
          <w:szCs w:val="21"/>
        </w:rPr>
        <w:t>003588</w:t>
      </w:r>
      <w:r>
        <w:rPr>
          <w:rFonts w:ascii="Times New Roman" w:hAnsi="Times New Roman" w:cs="宋体" w:hint="eastAsia"/>
          <w:szCs w:val="21"/>
        </w:rPr>
        <w:t>），</w:t>
      </w:r>
      <w:r>
        <w:rPr>
          <w:rFonts w:ascii="Times New Roman" w:hAnsi="Times New Roman" w:cs="宋体" w:hint="eastAsia"/>
          <w:szCs w:val="21"/>
        </w:rPr>
        <w:t>服务对象为符合相关法律法规、基金合同和</w:t>
      </w:r>
      <w:r>
        <w:rPr>
          <w:rFonts w:ascii="Times New Roman" w:hAnsi="Times New Roman" w:cs="宋体" w:hint="eastAsia"/>
          <w:szCs w:val="21"/>
        </w:rPr>
        <w:t>平安证券</w:t>
      </w:r>
      <w:r>
        <w:rPr>
          <w:rFonts w:ascii="Times New Roman" w:hAnsi="Times New Roman" w:cs="宋体" w:hint="eastAsia"/>
          <w:szCs w:val="21"/>
        </w:rPr>
        <w:t>的规定，在</w:t>
      </w:r>
      <w:r>
        <w:rPr>
          <w:rFonts w:ascii="Times New Roman" w:hAnsi="Times New Roman" w:cs="宋体" w:hint="eastAsia"/>
          <w:szCs w:val="21"/>
        </w:rPr>
        <w:t>平安证券</w:t>
      </w:r>
      <w:r>
        <w:rPr>
          <w:rFonts w:ascii="Times New Roman" w:hAnsi="Times New Roman" w:cs="宋体" w:hint="eastAsia"/>
          <w:szCs w:val="21"/>
        </w:rPr>
        <w:t>指定</w:t>
      </w:r>
      <w:r>
        <w:rPr>
          <w:rFonts w:ascii="Times New Roman" w:hAnsi="Times New Roman" w:cs="宋体" w:hint="eastAsia"/>
          <w:szCs w:val="21"/>
        </w:rPr>
        <w:t>渠道</w:t>
      </w:r>
      <w:r>
        <w:rPr>
          <w:rFonts w:ascii="Times New Roman" w:hAnsi="Times New Roman" w:cs="宋体" w:hint="eastAsia"/>
          <w:szCs w:val="21"/>
        </w:rPr>
        <w:t>开立交易账户并投资</w:t>
      </w:r>
      <w:r>
        <w:rPr>
          <w:rFonts w:ascii="Times New Roman" w:hAnsi="Times New Roman" w:cs="宋体" w:hint="eastAsia"/>
          <w:szCs w:val="21"/>
        </w:rPr>
        <w:t>东吴货币</w:t>
      </w:r>
      <w:r>
        <w:rPr>
          <w:rFonts w:ascii="Times New Roman" w:hAnsi="Times New Roman" w:cs="宋体" w:hint="eastAsia"/>
          <w:szCs w:val="21"/>
        </w:rPr>
        <w:t>A</w:t>
      </w:r>
      <w:r>
        <w:rPr>
          <w:rFonts w:ascii="Times New Roman" w:hAnsi="Times New Roman" w:cs="宋体" w:hint="eastAsia"/>
          <w:szCs w:val="21"/>
        </w:rPr>
        <w:t>、</w:t>
      </w:r>
      <w:r>
        <w:rPr>
          <w:rFonts w:ascii="Times New Roman" w:hAnsi="Times New Roman" w:cs="宋体" w:hint="eastAsia"/>
          <w:szCs w:val="21"/>
        </w:rPr>
        <w:t>东吴增鑫宝货币</w:t>
      </w:r>
      <w:r>
        <w:rPr>
          <w:rFonts w:ascii="Times New Roman" w:hAnsi="Times New Roman" w:cs="宋体" w:hint="eastAsia"/>
          <w:szCs w:val="21"/>
        </w:rPr>
        <w:t>A</w:t>
      </w:r>
      <w:r>
        <w:rPr>
          <w:rFonts w:ascii="Times New Roman" w:hAnsi="Times New Roman" w:cs="宋体" w:hint="eastAsia"/>
          <w:szCs w:val="21"/>
        </w:rPr>
        <w:t>的投资者。</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如未来本公司和</w:t>
      </w:r>
      <w:r>
        <w:rPr>
          <w:rFonts w:ascii="Times New Roman" w:hAnsi="Times New Roman" w:cs="宋体" w:hint="eastAsia"/>
          <w:szCs w:val="21"/>
        </w:rPr>
        <w:t>平安证券</w:t>
      </w:r>
      <w:r>
        <w:rPr>
          <w:rFonts w:ascii="Times New Roman" w:hAnsi="Times New Roman" w:cs="宋体" w:hint="eastAsia"/>
          <w:szCs w:val="21"/>
        </w:rPr>
        <w:t>协商一致调整快速赎回业务的适用范围的，届时将由本公司或</w:t>
      </w:r>
      <w:r>
        <w:rPr>
          <w:rFonts w:ascii="Times New Roman" w:hAnsi="Times New Roman" w:cs="宋体" w:hint="eastAsia"/>
          <w:szCs w:val="21"/>
        </w:rPr>
        <w:t>平安证券</w:t>
      </w:r>
      <w:r>
        <w:rPr>
          <w:rFonts w:ascii="Times New Roman" w:hAnsi="Times New Roman" w:cs="宋体" w:hint="eastAsia"/>
          <w:szCs w:val="21"/>
        </w:rPr>
        <w:t>另行</w:t>
      </w:r>
      <w:r>
        <w:rPr>
          <w:rFonts w:ascii="Times New Roman" w:hAnsi="Times New Roman" w:cs="宋体" w:hint="eastAsia"/>
          <w:szCs w:val="21"/>
        </w:rPr>
        <w:t>公告。</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三、业务规则</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1</w:t>
      </w:r>
      <w:r>
        <w:rPr>
          <w:rFonts w:ascii="Times New Roman" w:hAnsi="Times New Roman" w:cs="宋体" w:hint="eastAsia"/>
          <w:szCs w:val="21"/>
        </w:rPr>
        <w:t>、快速赎回业务的具体业务规则以投资者与</w:t>
      </w:r>
      <w:r>
        <w:rPr>
          <w:rFonts w:ascii="Times New Roman" w:hAnsi="Times New Roman" w:cs="宋体" w:hint="eastAsia"/>
          <w:szCs w:val="21"/>
        </w:rPr>
        <w:t>平安证券</w:t>
      </w:r>
      <w:r>
        <w:rPr>
          <w:rFonts w:ascii="Times New Roman" w:hAnsi="Times New Roman" w:cs="宋体" w:hint="eastAsia"/>
          <w:szCs w:val="21"/>
        </w:rPr>
        <w:t>签署的增值服务协议等配套</w:t>
      </w:r>
      <w:r>
        <w:rPr>
          <w:rFonts w:ascii="Times New Roman" w:hAnsi="Times New Roman" w:cs="宋体" w:hint="eastAsia"/>
          <w:szCs w:val="21"/>
        </w:rPr>
        <w:t>协议</w:t>
      </w:r>
      <w:r>
        <w:rPr>
          <w:rFonts w:ascii="Times New Roman" w:hAnsi="Times New Roman" w:cs="宋体" w:hint="eastAsia"/>
          <w:szCs w:val="21"/>
        </w:rPr>
        <w:t>的约定为准。该服务非法定义务，快速赎回有条件，依约可暂停。</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2</w:t>
      </w:r>
      <w:r>
        <w:rPr>
          <w:rFonts w:ascii="Times New Roman" w:hAnsi="Times New Roman" w:cs="宋体" w:hint="eastAsia"/>
          <w:szCs w:val="21"/>
        </w:rPr>
        <w:t>、投资者通过</w:t>
      </w:r>
      <w:r>
        <w:rPr>
          <w:rFonts w:ascii="Times New Roman" w:hAnsi="Times New Roman" w:cs="宋体" w:hint="eastAsia"/>
          <w:szCs w:val="21"/>
        </w:rPr>
        <w:t>平安证券</w:t>
      </w:r>
      <w:r>
        <w:rPr>
          <w:rFonts w:ascii="Times New Roman" w:hAnsi="Times New Roman" w:cs="宋体" w:hint="eastAsia"/>
          <w:szCs w:val="21"/>
        </w:rPr>
        <w:t>指定</w:t>
      </w:r>
      <w:r>
        <w:rPr>
          <w:rFonts w:ascii="Times New Roman" w:hAnsi="Times New Roman" w:cs="宋体" w:hint="eastAsia"/>
          <w:szCs w:val="21"/>
        </w:rPr>
        <w:t>渠道</w:t>
      </w:r>
      <w:r>
        <w:rPr>
          <w:rFonts w:ascii="Times New Roman" w:hAnsi="Times New Roman" w:cs="宋体" w:hint="eastAsia"/>
          <w:szCs w:val="21"/>
        </w:rPr>
        <w:t>办理快速赎回业务的申请时间</w:t>
      </w:r>
      <w:r>
        <w:rPr>
          <w:rFonts w:ascii="Times New Roman" w:hAnsi="Times New Roman" w:cs="宋体" w:hint="eastAsia"/>
          <w:szCs w:val="21"/>
        </w:rPr>
        <w:t>以平安证券业务规则为准</w:t>
      </w:r>
      <w:r>
        <w:rPr>
          <w:rFonts w:ascii="Times New Roman" w:hAnsi="Times New Roman" w:cs="宋体" w:hint="eastAsia"/>
          <w:szCs w:val="21"/>
        </w:rPr>
        <w:t>。本公司与</w:t>
      </w:r>
      <w:r>
        <w:rPr>
          <w:rFonts w:ascii="Times New Roman" w:hAnsi="Times New Roman" w:cs="宋体" w:hint="eastAsia"/>
          <w:szCs w:val="21"/>
        </w:rPr>
        <w:t>平安证券</w:t>
      </w:r>
      <w:r>
        <w:rPr>
          <w:rFonts w:ascii="Times New Roman" w:hAnsi="Times New Roman" w:cs="宋体" w:hint="eastAsia"/>
          <w:szCs w:val="21"/>
        </w:rPr>
        <w:t>有权根据实际情况临时暂停快速赎回业务或调整快速赎回业务的办理时间，并由本公司或</w:t>
      </w:r>
      <w:r>
        <w:rPr>
          <w:rFonts w:ascii="Times New Roman" w:hAnsi="Times New Roman" w:cs="宋体" w:hint="eastAsia"/>
          <w:szCs w:val="21"/>
        </w:rPr>
        <w:t>平安证券</w:t>
      </w:r>
      <w:r>
        <w:rPr>
          <w:rFonts w:ascii="Times New Roman" w:hAnsi="Times New Roman" w:cs="宋体" w:hint="eastAsia"/>
          <w:szCs w:val="21"/>
        </w:rPr>
        <w:t>另行公告。</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3</w:t>
      </w:r>
      <w:r>
        <w:rPr>
          <w:rFonts w:ascii="Times New Roman" w:hAnsi="Times New Roman" w:cs="宋体" w:hint="eastAsia"/>
          <w:szCs w:val="21"/>
        </w:rPr>
        <w:t>、投资者在</w:t>
      </w:r>
      <w:r>
        <w:rPr>
          <w:rFonts w:ascii="Times New Roman" w:hAnsi="Times New Roman" w:cs="宋体" w:hint="eastAsia"/>
          <w:szCs w:val="21"/>
        </w:rPr>
        <w:t>平安证券</w:t>
      </w:r>
      <w:r>
        <w:rPr>
          <w:rFonts w:ascii="Times New Roman" w:hAnsi="Times New Roman" w:cs="宋体" w:hint="eastAsia"/>
          <w:szCs w:val="21"/>
        </w:rPr>
        <w:t>持有的</w:t>
      </w:r>
      <w:r>
        <w:rPr>
          <w:rFonts w:ascii="Times New Roman" w:hAnsi="Times New Roman" w:cs="宋体" w:hint="eastAsia"/>
          <w:szCs w:val="21"/>
        </w:rPr>
        <w:t>东吴货币</w:t>
      </w:r>
      <w:r>
        <w:rPr>
          <w:rFonts w:ascii="Times New Roman" w:hAnsi="Times New Roman" w:cs="宋体" w:hint="eastAsia"/>
          <w:szCs w:val="21"/>
        </w:rPr>
        <w:t>A</w:t>
      </w:r>
      <w:r>
        <w:rPr>
          <w:rFonts w:ascii="Times New Roman" w:hAnsi="Times New Roman" w:cs="宋体" w:hint="eastAsia"/>
          <w:szCs w:val="21"/>
        </w:rPr>
        <w:t>、</w:t>
      </w:r>
      <w:r>
        <w:rPr>
          <w:rFonts w:ascii="Times New Roman" w:hAnsi="Times New Roman" w:cs="宋体" w:hint="eastAsia"/>
          <w:szCs w:val="21"/>
        </w:rPr>
        <w:t>东吴增鑫宝货币</w:t>
      </w:r>
      <w:r>
        <w:rPr>
          <w:rFonts w:ascii="Times New Roman" w:hAnsi="Times New Roman" w:cs="宋体" w:hint="eastAsia"/>
          <w:szCs w:val="21"/>
        </w:rPr>
        <w:t>A</w:t>
      </w:r>
      <w:r>
        <w:rPr>
          <w:rFonts w:ascii="Times New Roman" w:hAnsi="Times New Roman" w:cs="宋体" w:hint="eastAsia"/>
          <w:szCs w:val="21"/>
        </w:rPr>
        <w:t>单只</w:t>
      </w:r>
      <w:r>
        <w:rPr>
          <w:rFonts w:ascii="Times New Roman" w:hAnsi="Times New Roman" w:cs="宋体" w:hint="eastAsia"/>
          <w:szCs w:val="21"/>
        </w:rPr>
        <w:t>单个自然日的快速赎</w:t>
      </w:r>
      <w:r>
        <w:rPr>
          <w:rFonts w:ascii="Times New Roman" w:hAnsi="Times New Roman" w:cs="宋体" w:hint="eastAsia"/>
          <w:szCs w:val="21"/>
        </w:rPr>
        <w:lastRenderedPageBreak/>
        <w:t>回金额不高于</w:t>
      </w:r>
      <w:r>
        <w:rPr>
          <w:rFonts w:ascii="Times New Roman" w:hAnsi="Times New Roman" w:cs="宋体" w:hint="eastAsia"/>
          <w:szCs w:val="21"/>
        </w:rPr>
        <w:t>1</w:t>
      </w:r>
      <w:r>
        <w:rPr>
          <w:rFonts w:ascii="Times New Roman" w:hAnsi="Times New Roman" w:cs="宋体" w:hint="eastAsia"/>
          <w:szCs w:val="21"/>
        </w:rPr>
        <w:t>万元，具体限额和其</w:t>
      </w:r>
      <w:r>
        <w:rPr>
          <w:rFonts w:ascii="Times New Roman" w:hAnsi="Times New Roman" w:cs="宋体" w:hint="eastAsia"/>
          <w:szCs w:val="21"/>
        </w:rPr>
        <w:t>他限制规定以增值服务协议等配套</w:t>
      </w:r>
      <w:r>
        <w:rPr>
          <w:rFonts w:ascii="Times New Roman" w:hAnsi="Times New Roman" w:cs="宋体" w:hint="eastAsia"/>
          <w:szCs w:val="21"/>
        </w:rPr>
        <w:t>协议</w:t>
      </w:r>
      <w:r>
        <w:rPr>
          <w:rFonts w:ascii="Times New Roman" w:hAnsi="Times New Roman" w:cs="宋体" w:hint="eastAsia"/>
          <w:szCs w:val="21"/>
        </w:rPr>
        <w:t>的约定为准。本公</w:t>
      </w:r>
      <w:r>
        <w:rPr>
          <w:rFonts w:ascii="Times New Roman" w:hAnsi="Times New Roman" w:cs="宋体" w:hint="eastAsia"/>
          <w:szCs w:val="21"/>
        </w:rPr>
        <w:t>司与</w:t>
      </w:r>
      <w:r>
        <w:rPr>
          <w:rFonts w:ascii="Times New Roman" w:hAnsi="Times New Roman" w:cs="宋体" w:hint="eastAsia"/>
          <w:szCs w:val="21"/>
        </w:rPr>
        <w:t>平安证券</w:t>
      </w:r>
      <w:r>
        <w:rPr>
          <w:rFonts w:ascii="Times New Roman" w:hAnsi="Times New Roman" w:cs="宋体" w:hint="eastAsia"/>
          <w:szCs w:val="21"/>
        </w:rPr>
        <w:t>有权根据实际情况调整投资者的快速赎回单笔限额、单日限额，并由本公司或</w:t>
      </w:r>
      <w:r>
        <w:rPr>
          <w:rFonts w:ascii="Times New Roman" w:hAnsi="Times New Roman" w:cs="宋体" w:hint="eastAsia"/>
          <w:szCs w:val="21"/>
        </w:rPr>
        <w:t>平安证券</w:t>
      </w:r>
      <w:r>
        <w:rPr>
          <w:rFonts w:ascii="Times New Roman" w:hAnsi="Times New Roman" w:cs="宋体" w:hint="eastAsia"/>
          <w:szCs w:val="21"/>
        </w:rPr>
        <w:t>另行公告。</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4</w:t>
      </w:r>
      <w:r>
        <w:rPr>
          <w:rFonts w:ascii="Times New Roman" w:hAnsi="Times New Roman" w:cs="宋体" w:hint="eastAsia"/>
          <w:szCs w:val="21"/>
        </w:rPr>
        <w:t>、投资者快速赎回款项由具备基金销售业务资格的商业银行先行垫付，投资者发起货币基金快速赎回业务申请，并由垫支行垫付该笔快速赎回对应款项后，从投资者发起快速赎回业务申请所属自然日起</w:t>
      </w:r>
      <w:r>
        <w:rPr>
          <w:rFonts w:ascii="Times New Roman" w:hAnsi="Times New Roman" w:cs="宋体" w:hint="eastAsia"/>
          <w:szCs w:val="21"/>
        </w:rPr>
        <w:t>（</w:t>
      </w:r>
      <w:r>
        <w:rPr>
          <w:rFonts w:ascii="Times New Roman" w:hAnsi="Times New Roman" w:cs="宋体" w:hint="eastAsia"/>
          <w:szCs w:val="21"/>
        </w:rPr>
        <w:t>含当日</w:t>
      </w:r>
      <w:r>
        <w:rPr>
          <w:rFonts w:ascii="Times New Roman" w:hAnsi="Times New Roman" w:cs="宋体" w:hint="eastAsia"/>
          <w:szCs w:val="21"/>
        </w:rPr>
        <w:t>）</w:t>
      </w:r>
      <w:r>
        <w:rPr>
          <w:rFonts w:ascii="Times New Roman" w:hAnsi="Times New Roman" w:cs="宋体" w:hint="eastAsia"/>
          <w:szCs w:val="21"/>
        </w:rPr>
        <w:t>，该笔快速赎回款项对应基金份额的收益归垫支行所有。</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5</w:t>
      </w:r>
      <w:r>
        <w:rPr>
          <w:rFonts w:ascii="Times New Roman" w:hAnsi="Times New Roman" w:cs="宋体" w:hint="eastAsia"/>
          <w:szCs w:val="21"/>
        </w:rPr>
        <w:t>、因配合进行快速赎回款项垫资收益的划拨，客户收益和总份额的查询时间可能较普通产品稍有延迟。具体细则以</w:t>
      </w:r>
      <w:r>
        <w:rPr>
          <w:rFonts w:ascii="Times New Roman" w:hAnsi="Times New Roman" w:cs="宋体" w:hint="eastAsia"/>
          <w:szCs w:val="21"/>
        </w:rPr>
        <w:t>平安证券</w:t>
      </w:r>
      <w:r>
        <w:rPr>
          <w:rFonts w:ascii="Times New Roman" w:hAnsi="Times New Roman" w:cs="宋体" w:hint="eastAsia"/>
          <w:szCs w:val="21"/>
        </w:rPr>
        <w:t>相关规则为准。</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四、快速赎回业务服务费</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投资者使用货币基金快</w:t>
      </w:r>
      <w:r>
        <w:rPr>
          <w:rFonts w:ascii="Times New Roman" w:hAnsi="Times New Roman" w:cs="宋体" w:hint="eastAsia"/>
          <w:szCs w:val="21"/>
        </w:rPr>
        <w:t>速赎回服务，暂不收取服务费，如有调整本公司或</w:t>
      </w:r>
      <w:r>
        <w:rPr>
          <w:rFonts w:ascii="Times New Roman" w:hAnsi="Times New Roman" w:cs="宋体" w:hint="eastAsia"/>
          <w:szCs w:val="21"/>
        </w:rPr>
        <w:t>平安证券</w:t>
      </w:r>
      <w:r>
        <w:rPr>
          <w:rFonts w:ascii="Times New Roman" w:hAnsi="Times New Roman" w:cs="宋体" w:hint="eastAsia"/>
          <w:szCs w:val="21"/>
        </w:rPr>
        <w:t>将另行公告。</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五、重要提示</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1</w:t>
      </w:r>
      <w:r>
        <w:rPr>
          <w:rFonts w:ascii="Times New Roman" w:hAnsi="Times New Roman" w:cs="宋体" w:hint="eastAsia"/>
          <w:szCs w:val="21"/>
        </w:rPr>
        <w:t>、投资者通过</w:t>
      </w:r>
      <w:r>
        <w:rPr>
          <w:rFonts w:ascii="Times New Roman" w:hAnsi="Times New Roman" w:cs="宋体" w:hint="eastAsia"/>
          <w:szCs w:val="21"/>
        </w:rPr>
        <w:t>平安证券</w:t>
      </w:r>
      <w:r>
        <w:rPr>
          <w:rFonts w:ascii="Times New Roman" w:hAnsi="Times New Roman" w:cs="宋体" w:hint="eastAsia"/>
          <w:szCs w:val="21"/>
        </w:rPr>
        <w:t>办理快速赎回业务的相关流程应遵循</w:t>
      </w:r>
      <w:r>
        <w:rPr>
          <w:rFonts w:ascii="Times New Roman" w:hAnsi="Times New Roman" w:cs="宋体" w:hint="eastAsia"/>
          <w:szCs w:val="21"/>
        </w:rPr>
        <w:t>平安证券</w:t>
      </w:r>
      <w:r>
        <w:rPr>
          <w:rFonts w:ascii="Times New Roman" w:hAnsi="Times New Roman" w:cs="宋体" w:hint="eastAsia"/>
          <w:szCs w:val="21"/>
        </w:rPr>
        <w:t>的有关规定，投资者申请快速赎回业务前，应仔细阅读相关基金的基金合同、招募说明书等法律文件和增值服务协议等配套</w:t>
      </w:r>
      <w:r>
        <w:rPr>
          <w:rFonts w:ascii="Times New Roman" w:hAnsi="Times New Roman" w:cs="宋体" w:hint="eastAsia"/>
          <w:szCs w:val="21"/>
        </w:rPr>
        <w:t>协议</w:t>
      </w:r>
      <w:r>
        <w:rPr>
          <w:rFonts w:ascii="Times New Roman" w:hAnsi="Times New Roman" w:cs="宋体" w:hint="eastAsia"/>
          <w:szCs w:val="21"/>
        </w:rPr>
        <w:t>。</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2</w:t>
      </w:r>
      <w:r>
        <w:rPr>
          <w:rFonts w:ascii="Times New Roman" w:hAnsi="Times New Roman" w:cs="宋体" w:hint="eastAsia"/>
          <w:szCs w:val="21"/>
        </w:rPr>
        <w:t>、本公告与增值服务协议等配套</w:t>
      </w:r>
      <w:r>
        <w:rPr>
          <w:rFonts w:ascii="Times New Roman" w:hAnsi="Times New Roman" w:cs="宋体" w:hint="eastAsia"/>
          <w:szCs w:val="21"/>
        </w:rPr>
        <w:t>协议</w:t>
      </w:r>
      <w:r>
        <w:rPr>
          <w:rFonts w:ascii="Times New Roman" w:hAnsi="Times New Roman" w:cs="宋体" w:hint="eastAsia"/>
          <w:szCs w:val="21"/>
        </w:rPr>
        <w:t>不一致的，以投资者实际签署的增值服务协议等配套</w:t>
      </w:r>
      <w:r>
        <w:rPr>
          <w:rFonts w:ascii="Times New Roman" w:hAnsi="Times New Roman" w:cs="宋体" w:hint="eastAsia"/>
          <w:szCs w:val="21"/>
        </w:rPr>
        <w:t>协议</w:t>
      </w:r>
      <w:r>
        <w:rPr>
          <w:rFonts w:ascii="Times New Roman" w:hAnsi="Times New Roman" w:cs="宋体" w:hint="eastAsia"/>
          <w:szCs w:val="21"/>
        </w:rPr>
        <w:t>约定的内容为准。投资者申请办理快速赎回业务前，应认真阅读有关增值服务协议等配套</w:t>
      </w:r>
      <w:r>
        <w:rPr>
          <w:rFonts w:ascii="Times New Roman" w:hAnsi="Times New Roman" w:cs="宋体" w:hint="eastAsia"/>
          <w:szCs w:val="21"/>
        </w:rPr>
        <w:t>协议</w:t>
      </w:r>
      <w:r>
        <w:rPr>
          <w:rFonts w:ascii="Times New Roman" w:hAnsi="Times New Roman" w:cs="宋体" w:hint="eastAsia"/>
          <w:szCs w:val="21"/>
        </w:rPr>
        <w:t>、相关业务规则。</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3</w:t>
      </w:r>
      <w:r>
        <w:rPr>
          <w:rFonts w:ascii="Times New Roman" w:hAnsi="Times New Roman" w:cs="宋体" w:hint="eastAsia"/>
          <w:szCs w:val="21"/>
        </w:rPr>
        <w:t>、本公司和</w:t>
      </w:r>
      <w:r>
        <w:rPr>
          <w:rFonts w:ascii="Times New Roman" w:hAnsi="Times New Roman" w:cs="宋体" w:hint="eastAsia"/>
          <w:szCs w:val="21"/>
        </w:rPr>
        <w:t>平安证券</w:t>
      </w:r>
      <w:r>
        <w:rPr>
          <w:rFonts w:ascii="Times New Roman" w:hAnsi="Times New Roman" w:cs="宋体" w:hint="eastAsia"/>
          <w:szCs w:val="21"/>
        </w:rPr>
        <w:t>可根据业务需要经协商一致对快速赎回业务申请限额、</w:t>
      </w:r>
      <w:r>
        <w:rPr>
          <w:rFonts w:ascii="Times New Roman" w:hAnsi="Times New Roman" w:cs="宋体" w:hint="eastAsia"/>
          <w:szCs w:val="21"/>
        </w:rPr>
        <w:t>业务规则和服务费等进行调整，并依据相关法律法规的规定和增值服务协议等配套</w:t>
      </w:r>
      <w:r>
        <w:rPr>
          <w:rFonts w:ascii="Times New Roman" w:hAnsi="Times New Roman" w:cs="宋体" w:hint="eastAsia"/>
          <w:szCs w:val="21"/>
        </w:rPr>
        <w:t>协议</w:t>
      </w:r>
      <w:r>
        <w:rPr>
          <w:rFonts w:ascii="Times New Roman" w:hAnsi="Times New Roman" w:cs="宋体" w:hint="eastAsia"/>
          <w:szCs w:val="21"/>
        </w:rPr>
        <w:t>的约定进行公告或者由</w:t>
      </w:r>
      <w:r>
        <w:rPr>
          <w:rFonts w:ascii="Times New Roman" w:hAnsi="Times New Roman" w:cs="宋体" w:hint="eastAsia"/>
          <w:szCs w:val="21"/>
        </w:rPr>
        <w:t>平安证券</w:t>
      </w:r>
      <w:r>
        <w:rPr>
          <w:rFonts w:ascii="Times New Roman" w:hAnsi="Times New Roman" w:cs="宋体" w:hint="eastAsia"/>
          <w:szCs w:val="21"/>
        </w:rPr>
        <w:t>通过指定</w:t>
      </w:r>
      <w:r>
        <w:rPr>
          <w:rFonts w:ascii="Times New Roman" w:hAnsi="Times New Roman" w:cs="宋体" w:hint="eastAsia"/>
          <w:szCs w:val="21"/>
        </w:rPr>
        <w:t>渠道</w:t>
      </w:r>
      <w:r>
        <w:rPr>
          <w:rFonts w:ascii="Times New Roman" w:hAnsi="Times New Roman" w:cs="宋体" w:hint="eastAsia"/>
          <w:szCs w:val="21"/>
        </w:rPr>
        <w:t>通知投资者。</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4</w:t>
      </w:r>
      <w:r>
        <w:rPr>
          <w:rFonts w:ascii="Times New Roman" w:hAnsi="Times New Roman" w:cs="宋体" w:hint="eastAsia"/>
          <w:szCs w:val="21"/>
        </w:rPr>
        <w:t>、本公告仅对在</w:t>
      </w:r>
      <w:r>
        <w:rPr>
          <w:rFonts w:ascii="Times New Roman" w:hAnsi="Times New Roman" w:cs="宋体" w:hint="eastAsia"/>
          <w:szCs w:val="21"/>
        </w:rPr>
        <w:t>平安证券</w:t>
      </w:r>
      <w:r>
        <w:rPr>
          <w:rFonts w:ascii="Times New Roman" w:hAnsi="Times New Roman" w:cs="宋体" w:hint="eastAsia"/>
          <w:szCs w:val="21"/>
        </w:rPr>
        <w:t>开通快速赎回业务的有关事项予以说明，投资者欲了解</w:t>
      </w:r>
      <w:r>
        <w:rPr>
          <w:rFonts w:ascii="Times New Roman" w:hAnsi="Times New Roman" w:cs="宋体" w:hint="eastAsia"/>
          <w:szCs w:val="21"/>
        </w:rPr>
        <w:t>东吴货币</w:t>
      </w:r>
      <w:r>
        <w:rPr>
          <w:rFonts w:ascii="Times New Roman" w:hAnsi="Times New Roman" w:cs="宋体" w:hint="eastAsia"/>
          <w:szCs w:val="21"/>
        </w:rPr>
        <w:t>A</w:t>
      </w:r>
      <w:r>
        <w:rPr>
          <w:rFonts w:ascii="Times New Roman" w:hAnsi="Times New Roman" w:cs="宋体" w:hint="eastAsia"/>
          <w:szCs w:val="21"/>
        </w:rPr>
        <w:t>、</w:t>
      </w:r>
      <w:r>
        <w:rPr>
          <w:rFonts w:ascii="Times New Roman" w:hAnsi="Times New Roman" w:cs="宋体" w:hint="eastAsia"/>
          <w:szCs w:val="21"/>
        </w:rPr>
        <w:t>东吴增鑫宝货币</w:t>
      </w:r>
      <w:r>
        <w:rPr>
          <w:rFonts w:ascii="Times New Roman" w:hAnsi="Times New Roman" w:cs="宋体" w:hint="eastAsia"/>
          <w:szCs w:val="21"/>
        </w:rPr>
        <w:t>A</w:t>
      </w:r>
      <w:r>
        <w:rPr>
          <w:rFonts w:ascii="Times New Roman" w:hAnsi="Times New Roman" w:cs="宋体" w:hint="eastAsia"/>
          <w:szCs w:val="21"/>
        </w:rPr>
        <w:t>的详细情况，请登录本公司网站</w:t>
      </w:r>
      <w:r>
        <w:rPr>
          <w:rFonts w:ascii="Times New Roman" w:hAnsi="Times New Roman" w:cs="宋体" w:hint="eastAsia"/>
          <w:szCs w:val="21"/>
        </w:rPr>
        <w:t>（</w:t>
      </w:r>
      <w:r>
        <w:rPr>
          <w:rFonts w:ascii="Times New Roman" w:hAnsi="Times New Roman" w:cs="宋体" w:hint="eastAsia"/>
          <w:szCs w:val="21"/>
        </w:rPr>
        <w:t>www.scfund.com.cn</w:t>
      </w:r>
      <w:r>
        <w:rPr>
          <w:rFonts w:ascii="Times New Roman" w:hAnsi="Times New Roman" w:cs="宋体" w:hint="eastAsia"/>
          <w:szCs w:val="21"/>
        </w:rPr>
        <w:t>）</w:t>
      </w:r>
      <w:r>
        <w:rPr>
          <w:rFonts w:ascii="Times New Roman" w:hAnsi="Times New Roman" w:cs="宋体" w:hint="eastAsia"/>
          <w:szCs w:val="21"/>
        </w:rPr>
        <w:t>认真查阅相关基金合同和最新的招募说明书，或拨打本公司客户服务电话</w:t>
      </w:r>
      <w:r>
        <w:rPr>
          <w:rFonts w:ascii="Times New Roman" w:hAnsi="Times New Roman" w:cs="宋体" w:hint="eastAsia"/>
          <w:szCs w:val="21"/>
        </w:rPr>
        <w:t>400-821-0588</w:t>
      </w:r>
      <w:r>
        <w:rPr>
          <w:rFonts w:ascii="Times New Roman" w:hAnsi="Times New Roman" w:cs="宋体" w:hint="eastAsia"/>
          <w:szCs w:val="21"/>
        </w:rPr>
        <w:t>查询。</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六、投资者可通过以下途径了解或咨询详情</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1</w:t>
      </w:r>
      <w:r>
        <w:rPr>
          <w:rFonts w:ascii="Times New Roman" w:hAnsi="Times New Roman" w:cs="宋体" w:hint="eastAsia"/>
          <w:szCs w:val="21"/>
        </w:rPr>
        <w:t>、平安证券</w:t>
      </w:r>
      <w:r>
        <w:rPr>
          <w:rFonts w:ascii="Times New Roman" w:hAnsi="Times New Roman" w:cs="宋体" w:hint="eastAsia"/>
          <w:szCs w:val="21"/>
        </w:rPr>
        <w:t>股份有限</w:t>
      </w:r>
      <w:r>
        <w:rPr>
          <w:rFonts w:ascii="Times New Roman" w:hAnsi="Times New Roman" w:cs="宋体" w:hint="eastAsia"/>
          <w:szCs w:val="21"/>
        </w:rPr>
        <w:t>公司</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szCs w:val="21"/>
        </w:rPr>
      </w:pPr>
      <w:r>
        <w:rPr>
          <w:rFonts w:ascii="Times New Roman" w:hAnsi="Times New Roman" w:cs="宋体" w:hint="eastAsia"/>
          <w:szCs w:val="21"/>
        </w:rPr>
        <w:lastRenderedPageBreak/>
        <w:t>客户服务热线：</w:t>
      </w:r>
      <w:r>
        <w:rPr>
          <w:rFonts w:ascii="Times New Roman" w:hAnsi="Times New Roman" w:cs="宋体" w:hint="eastAsia"/>
          <w:szCs w:val="21"/>
        </w:rPr>
        <w:t>95511-8</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公司网址：</w:t>
      </w:r>
      <w:r>
        <w:rPr>
          <w:rFonts w:ascii="Times New Roman" w:hAnsi="Times New Roman" w:cs="宋体" w:hint="eastAsia"/>
          <w:szCs w:val="21"/>
        </w:rPr>
        <w:t>stock</w:t>
      </w:r>
      <w:r>
        <w:rPr>
          <w:rFonts w:ascii="Times New Roman" w:hAnsi="Times New Roman" w:cs="宋体" w:hint="eastAsia"/>
          <w:szCs w:val="21"/>
        </w:rPr>
        <w:t>.pingan.com</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2</w:t>
      </w:r>
      <w:r>
        <w:rPr>
          <w:rFonts w:ascii="Times New Roman" w:hAnsi="Times New Roman" w:cs="宋体" w:hint="eastAsia"/>
          <w:szCs w:val="21"/>
        </w:rPr>
        <w:t>、</w:t>
      </w:r>
      <w:r>
        <w:rPr>
          <w:rFonts w:ascii="Times New Roman" w:hAnsi="Times New Roman" w:cs="宋体" w:hint="eastAsia"/>
          <w:szCs w:val="21"/>
        </w:rPr>
        <w:t>东吴基金管理有限公司</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客户服务热线：</w:t>
      </w:r>
      <w:r>
        <w:rPr>
          <w:rFonts w:ascii="Times New Roman" w:hAnsi="Times New Roman" w:cs="宋体" w:hint="eastAsia"/>
          <w:szCs w:val="21"/>
        </w:rPr>
        <w:t>400-821-0588</w:t>
      </w:r>
      <w:r>
        <w:rPr>
          <w:rFonts w:ascii="Times New Roman" w:hAnsi="Times New Roman" w:cs="宋体" w:hint="eastAsia"/>
          <w:szCs w:val="21"/>
        </w:rPr>
        <w:t>（免长途话费）</w:t>
      </w: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公司网址：</w:t>
      </w:r>
      <w:hyperlink r:id="rId5" w:history="1">
        <w:r>
          <w:rPr>
            <w:rFonts w:ascii="Times New Roman" w:hAnsi="Times New Roman" w:cs="宋体" w:hint="eastAsia"/>
            <w:szCs w:val="21"/>
          </w:rPr>
          <w:t>www.scfund.com.cn</w:t>
        </w:r>
      </w:hyperlink>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本基金管理人承诺以诚实信用、勤勉尽责的原则管理和运用基金财产，但不保证基金一定盈利，也不保证最低收益。投资者购买货币市场基金并不等于将资金作为存款存放在银行或存款类金融机构。基金的过往业绩并不代表其将来表现。投资有风险，敬请投资人认真阅读基金的相关法律文件，并选择适合自身风险</w:t>
      </w:r>
      <w:r>
        <w:rPr>
          <w:rFonts w:ascii="Times New Roman" w:hAnsi="Times New Roman" w:cs="宋体" w:hint="eastAsia"/>
          <w:szCs w:val="21"/>
        </w:rPr>
        <w:t>承受能力的投资品种进行投资。</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rPr>
          <w:rFonts w:ascii="Times New Roman" w:hAnsi="Times New Roman" w:cs="宋体" w:hint="eastAsia"/>
          <w:szCs w:val="21"/>
        </w:rPr>
      </w:pPr>
      <w:r>
        <w:rPr>
          <w:rFonts w:ascii="Times New Roman" w:hAnsi="Times New Roman" w:cs="宋体" w:hint="eastAsia"/>
          <w:szCs w:val="21"/>
        </w:rPr>
        <w:t>特此公告。</w:t>
      </w:r>
    </w:p>
    <w:p w:rsidR="00000000" w:rsidRDefault="00C837F8">
      <w:pPr>
        <w:spacing w:line="360" w:lineRule="auto"/>
        <w:ind w:firstLineChars="200" w:firstLine="420"/>
        <w:rPr>
          <w:rFonts w:ascii="Times New Roman" w:hAnsi="Times New Roman" w:cs="宋体" w:hint="eastAsia"/>
          <w:szCs w:val="21"/>
        </w:rPr>
      </w:pPr>
    </w:p>
    <w:p w:rsidR="00000000" w:rsidRDefault="00C837F8">
      <w:pPr>
        <w:spacing w:line="360" w:lineRule="auto"/>
        <w:ind w:firstLineChars="200" w:firstLine="420"/>
        <w:jc w:val="right"/>
        <w:rPr>
          <w:rFonts w:ascii="Times New Roman" w:hAnsi="Times New Roman" w:cs="宋体" w:hint="eastAsia"/>
          <w:szCs w:val="21"/>
        </w:rPr>
      </w:pPr>
      <w:r>
        <w:rPr>
          <w:rFonts w:ascii="Times New Roman" w:hAnsi="Times New Roman" w:cs="宋体" w:hint="eastAsia"/>
          <w:szCs w:val="21"/>
        </w:rPr>
        <w:t>东吴基金管理有限公司</w:t>
      </w:r>
    </w:p>
    <w:p w:rsidR="00000000" w:rsidRDefault="00C837F8">
      <w:pPr>
        <w:spacing w:line="360" w:lineRule="auto"/>
        <w:ind w:firstLineChars="200" w:firstLine="420"/>
        <w:jc w:val="right"/>
        <w:rPr>
          <w:rFonts w:ascii="Times New Roman" w:hAnsi="Times New Roman" w:cs="宋体" w:hint="eastAsia"/>
          <w:szCs w:val="21"/>
        </w:rPr>
      </w:pPr>
      <w:r>
        <w:rPr>
          <w:rFonts w:ascii="Times New Roman" w:hAnsi="Times New Roman" w:cs="宋体" w:hint="eastAsia"/>
          <w:szCs w:val="21"/>
        </w:rPr>
        <w:t xml:space="preserve"> </w:t>
      </w:r>
      <w:r>
        <w:rPr>
          <w:rFonts w:ascii="Times New Roman" w:hAnsi="Times New Roman" w:cs="宋体" w:hint="eastAsia"/>
          <w:szCs w:val="21"/>
        </w:rPr>
        <w:t>202</w:t>
      </w:r>
      <w:r>
        <w:rPr>
          <w:rFonts w:ascii="Times New Roman" w:hAnsi="Times New Roman" w:cs="宋体" w:hint="eastAsia"/>
          <w:szCs w:val="21"/>
        </w:rPr>
        <w:t>4</w:t>
      </w:r>
      <w:r>
        <w:rPr>
          <w:rFonts w:ascii="Times New Roman" w:hAnsi="Times New Roman" w:cs="宋体" w:hint="eastAsia"/>
          <w:szCs w:val="21"/>
        </w:rPr>
        <w:t>年</w:t>
      </w:r>
      <w:r>
        <w:rPr>
          <w:rFonts w:ascii="Times New Roman" w:hAnsi="Times New Roman" w:cs="宋体" w:hint="eastAsia"/>
          <w:szCs w:val="21"/>
        </w:rPr>
        <w:t>5</w:t>
      </w:r>
      <w:r>
        <w:rPr>
          <w:rFonts w:ascii="Times New Roman" w:hAnsi="Times New Roman" w:cs="宋体" w:hint="eastAsia"/>
          <w:szCs w:val="21"/>
        </w:rPr>
        <w:t>月</w:t>
      </w:r>
      <w:r>
        <w:rPr>
          <w:rFonts w:ascii="Times New Roman" w:hAnsi="Times New Roman" w:cs="宋体" w:hint="eastAsia"/>
          <w:szCs w:val="21"/>
        </w:rPr>
        <w:t>6</w:t>
      </w:r>
      <w:r>
        <w:rPr>
          <w:rFonts w:ascii="Times New Roman" w:hAnsi="Times New Roman"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 w:name="KSO_WPS_MARK_KEY" w:val="ea9ba45b-30dc-4d6a-bd96-95f047745f67"/>
  </w:docVars>
  <w:rsids>
    <w:rsidRoot w:val="00C45475"/>
    <w:rsid w:val="00116C04"/>
    <w:rsid w:val="00121AD0"/>
    <w:rsid w:val="001425EB"/>
    <w:rsid w:val="00324570"/>
    <w:rsid w:val="00442735"/>
    <w:rsid w:val="004569D6"/>
    <w:rsid w:val="00464B21"/>
    <w:rsid w:val="00515195"/>
    <w:rsid w:val="005D09AA"/>
    <w:rsid w:val="006014DA"/>
    <w:rsid w:val="0063735D"/>
    <w:rsid w:val="00741C71"/>
    <w:rsid w:val="007D095A"/>
    <w:rsid w:val="007F5528"/>
    <w:rsid w:val="00884D04"/>
    <w:rsid w:val="009B1D7B"/>
    <w:rsid w:val="00A1406D"/>
    <w:rsid w:val="00A452F3"/>
    <w:rsid w:val="00A50A38"/>
    <w:rsid w:val="00A92528"/>
    <w:rsid w:val="00B03F24"/>
    <w:rsid w:val="00B6647F"/>
    <w:rsid w:val="00B926BF"/>
    <w:rsid w:val="00BD6171"/>
    <w:rsid w:val="00C45475"/>
    <w:rsid w:val="00C62BB7"/>
    <w:rsid w:val="00C837F8"/>
    <w:rsid w:val="00CC7970"/>
    <w:rsid w:val="00CD04FC"/>
    <w:rsid w:val="00D000BC"/>
    <w:rsid w:val="00D538A9"/>
    <w:rsid w:val="00F84354"/>
    <w:rsid w:val="00FA4050"/>
    <w:rsid w:val="024E0E9C"/>
    <w:rsid w:val="02506C5A"/>
    <w:rsid w:val="07133C6D"/>
    <w:rsid w:val="0FF7677B"/>
    <w:rsid w:val="10411EAE"/>
    <w:rsid w:val="14A7181F"/>
    <w:rsid w:val="1679426E"/>
    <w:rsid w:val="16C34B14"/>
    <w:rsid w:val="18207596"/>
    <w:rsid w:val="1AA15476"/>
    <w:rsid w:val="1CBB4F51"/>
    <w:rsid w:val="1F7C6372"/>
    <w:rsid w:val="27AC746E"/>
    <w:rsid w:val="2A8D3BB3"/>
    <w:rsid w:val="307C2EEF"/>
    <w:rsid w:val="35E27865"/>
    <w:rsid w:val="3E860403"/>
    <w:rsid w:val="451231DA"/>
    <w:rsid w:val="4C5F4790"/>
    <w:rsid w:val="4C927B9E"/>
    <w:rsid w:val="4DA348A5"/>
    <w:rsid w:val="51302A90"/>
    <w:rsid w:val="55F62B75"/>
    <w:rsid w:val="57A349FD"/>
    <w:rsid w:val="581A46C2"/>
    <w:rsid w:val="58C22C17"/>
    <w:rsid w:val="5B6336CC"/>
    <w:rsid w:val="5FFB394C"/>
    <w:rsid w:val="605C4742"/>
    <w:rsid w:val="608E4EF4"/>
    <w:rsid w:val="615F513A"/>
    <w:rsid w:val="64747F00"/>
    <w:rsid w:val="6951393B"/>
    <w:rsid w:val="6A222CC8"/>
    <w:rsid w:val="6B965D7D"/>
    <w:rsid w:val="6FEB7D36"/>
    <w:rsid w:val="72005FE5"/>
    <w:rsid w:val="73F413D4"/>
    <w:rsid w:val="7521549D"/>
    <w:rsid w:val="7555556D"/>
    <w:rsid w:val="775C6065"/>
    <w:rsid w:val="7C937100"/>
    <w:rsid w:val="7E131BFF"/>
    <w:rsid w:val="7EDC34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cs="Times New Roman" w:hint="eastAsia"/>
      <w:b/>
      <w:bCs/>
      <w:kern w:val="44"/>
      <w:sz w:val="48"/>
      <w:szCs w:val="48"/>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styleId="a5">
    <w:name w:val="Hyperlink"/>
    <w:basedOn w:val="a0"/>
    <w:uiPriority w:val="99"/>
    <w:rPr>
      <w:color w:val="0563C1"/>
      <w:u w:val="single"/>
    </w:rPr>
  </w:style>
  <w:style w:type="paragraph" w:styleId="a6">
    <w:name w:val="List Paragraph"/>
    <w:basedOn w:val="a"/>
    <w:uiPriority w:val="34"/>
    <w:qFormat/>
    <w:pPr>
      <w:ind w:firstLineChars="200" w:firstLine="420"/>
    </w:pPr>
  </w:style>
  <w:style w:type="paragraph" w:customStyle="1" w:styleId="CharCharCharChar">
    <w:name w:val=" Char Char Char Char"/>
    <w:basedOn w:val="a"/>
    <w:qFormat/>
    <w:pPr>
      <w:tabs>
        <w:tab w:val="left" w:pos="360"/>
      </w:tabs>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fu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Application>Microsoft Office Word</Application>
  <DocSecurity>4</DocSecurity>
  <Lines>13</Lines>
  <Paragraphs>3</Paragraphs>
  <ScaleCrop>false</ScaleCrop>
  <Company>CNSTOCK</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东吴基金管理有限公司关于在平安证券股份有限公司APP渠道开通东吴货币市场证券投资基金A级、东吴增鑫宝货币市场基金A类“T+0快速赎回业务”的公告</dc:title>
  <dc:subject/>
  <dc:creator>dingxue</dc:creator>
  <cp:keywords/>
  <cp:lastModifiedBy>ZHONGM</cp:lastModifiedBy>
  <cp:revision>2</cp:revision>
  <dcterms:created xsi:type="dcterms:W3CDTF">2024-04-30T16:01:00Z</dcterms:created>
  <dcterms:modified xsi:type="dcterms:W3CDTF">2024-04-30T16:01:00Z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21DDF309907B4BD4B05B95BC83177313_13</vt:lpwstr>
  </property>
</Properties>
</file>