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8D" w:rsidRPr="00C67A08" w:rsidRDefault="00C67A08">
      <w:pPr>
        <w:jc w:val="center"/>
        <w:rPr>
          <w:rFonts w:ascii="宋体" w:eastAsia="宋体" w:hAnsi="宋体" w:cs="Times New Roman"/>
          <w:b/>
          <w:sz w:val="28"/>
          <w:szCs w:val="28"/>
        </w:rPr>
      </w:pPr>
      <w:r w:rsidRPr="00C67A08">
        <w:rPr>
          <w:rFonts w:ascii="宋体" w:eastAsia="宋体" w:hAnsi="宋体" w:cs="Times New Roman" w:hint="eastAsia"/>
          <w:b/>
          <w:sz w:val="28"/>
          <w:szCs w:val="28"/>
        </w:rPr>
        <w:t>中邮创业基金管理股份有限公司</w:t>
      </w:r>
    </w:p>
    <w:p w:rsidR="00945775" w:rsidRDefault="00C67A08">
      <w:pPr>
        <w:jc w:val="center"/>
        <w:rPr>
          <w:rFonts w:ascii="宋体" w:eastAsia="宋体" w:hAnsi="宋体" w:cs="Times New Roman"/>
          <w:b/>
          <w:sz w:val="28"/>
          <w:szCs w:val="28"/>
        </w:rPr>
      </w:pPr>
      <w:r w:rsidRPr="00C67A08">
        <w:rPr>
          <w:rFonts w:ascii="宋体" w:eastAsia="宋体" w:hAnsi="宋体" w:cs="Times New Roman" w:hint="eastAsia"/>
          <w:b/>
          <w:sz w:val="28"/>
          <w:szCs w:val="28"/>
        </w:rPr>
        <w:t>关于在中国邮政储蓄银行股份有限公司开通基金转换业务及参加</w:t>
      </w:r>
    </w:p>
    <w:p w:rsidR="009A292A" w:rsidRPr="00C67A08" w:rsidRDefault="00C67A08">
      <w:pPr>
        <w:jc w:val="center"/>
        <w:rPr>
          <w:rFonts w:ascii="宋体" w:eastAsia="宋体" w:hAnsi="宋体" w:cs="Times New Roman"/>
          <w:b/>
          <w:sz w:val="28"/>
          <w:szCs w:val="28"/>
        </w:rPr>
      </w:pPr>
      <w:bookmarkStart w:id="0" w:name="_GoBack"/>
      <w:bookmarkEnd w:id="0"/>
      <w:r w:rsidRPr="00C67A08">
        <w:rPr>
          <w:rFonts w:ascii="宋体" w:eastAsia="宋体" w:hAnsi="宋体" w:cs="Times New Roman" w:hint="eastAsia"/>
          <w:b/>
          <w:sz w:val="28"/>
          <w:szCs w:val="28"/>
        </w:rPr>
        <w:t>转换补差费率优惠活动的公告</w:t>
      </w:r>
    </w:p>
    <w:p w:rsidR="009A292A" w:rsidRDefault="009A292A"/>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为了更好地满足广大投资者的理财需求，中邮创业基金管理股份有限公司（以下简称“本公司”）与中国邮政储蓄银行股份有限公司（以下简称“邮储银行”）协商一致，自</w:t>
      </w:r>
      <w:r w:rsidR="000E6706">
        <w:rPr>
          <w:rFonts w:ascii="宋体" w:eastAsia="宋体" w:hAnsi="宋体" w:cs="Times New Roman"/>
          <w:szCs w:val="21"/>
        </w:rPr>
        <w:t>2024</w:t>
      </w:r>
      <w:r>
        <w:rPr>
          <w:rFonts w:ascii="宋体" w:eastAsia="宋体" w:hAnsi="宋体" w:cs="Times New Roman"/>
          <w:szCs w:val="21"/>
        </w:rPr>
        <w:t>年</w:t>
      </w:r>
      <w:r w:rsidR="000E6706">
        <w:rPr>
          <w:rFonts w:ascii="宋体" w:eastAsia="宋体" w:hAnsi="宋体" w:cs="Times New Roman"/>
          <w:szCs w:val="21"/>
        </w:rPr>
        <w:t>4月</w:t>
      </w:r>
      <w:r w:rsidR="0006396D">
        <w:rPr>
          <w:rFonts w:ascii="宋体" w:eastAsia="宋体" w:hAnsi="宋体" w:cs="Times New Roman"/>
          <w:szCs w:val="21"/>
        </w:rPr>
        <w:t>25</w:t>
      </w:r>
      <w:r>
        <w:rPr>
          <w:rFonts w:ascii="宋体" w:eastAsia="宋体" w:hAnsi="宋体" w:cs="Times New Roman"/>
          <w:szCs w:val="21"/>
        </w:rPr>
        <w:t>日</w:t>
      </w:r>
      <w:r>
        <w:rPr>
          <w:rFonts w:ascii="宋体" w:eastAsia="宋体" w:hAnsi="宋体" w:cs="Times New Roman" w:hint="eastAsia"/>
          <w:szCs w:val="21"/>
        </w:rPr>
        <w:t>起，本公司旗下部分基金在邮储银行开通转换业务，并参加其转换补差费率优惠活动。现将有关事项公告如下：</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C67A08" w:rsidP="004A463F">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一、适用基金及业务范围</w:t>
      </w:r>
    </w:p>
    <w:tbl>
      <w:tblPr>
        <w:tblStyle w:val="a5"/>
        <w:tblW w:w="5000" w:type="pct"/>
        <w:jc w:val="center"/>
        <w:tblLook w:val="04A0"/>
      </w:tblPr>
      <w:tblGrid>
        <w:gridCol w:w="6695"/>
        <w:gridCol w:w="1827"/>
      </w:tblGrid>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b/>
                <w:bCs/>
                <w:sz w:val="24"/>
              </w:rPr>
            </w:pPr>
            <w:r w:rsidRPr="00EF38AA">
              <w:rPr>
                <w:rFonts w:ascii="宋体" w:eastAsia="宋体" w:hAnsi="宋体" w:cs="宋体" w:hint="eastAsia"/>
                <w:kern w:val="0"/>
                <w:sz w:val="24"/>
              </w:rPr>
              <w:t>基金名称</w:t>
            </w:r>
          </w:p>
        </w:tc>
        <w:tc>
          <w:tcPr>
            <w:tcW w:w="1072" w:type="pct"/>
            <w:vAlign w:val="center"/>
          </w:tcPr>
          <w:p w:rsidR="000E6706" w:rsidRPr="00EF38AA" w:rsidRDefault="000E6706" w:rsidP="00FB014A">
            <w:pPr>
              <w:widowControl/>
              <w:spacing w:line="360" w:lineRule="auto"/>
              <w:jc w:val="center"/>
              <w:rPr>
                <w:rFonts w:ascii="宋体" w:eastAsia="宋体" w:hAnsi="宋体" w:cs="宋体"/>
                <w:b/>
                <w:bCs/>
                <w:sz w:val="24"/>
              </w:rPr>
            </w:pPr>
            <w:r w:rsidRPr="00EF38AA">
              <w:rPr>
                <w:rFonts w:ascii="宋体" w:eastAsia="宋体" w:hAnsi="宋体" w:cs="宋体" w:hint="eastAsia"/>
                <w:kern w:val="0"/>
                <w:sz w:val="24"/>
              </w:rPr>
              <w:t>基金代码</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中邮定期开放债券型证券投资基金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A类：000271 </w:t>
            </w:r>
          </w:p>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C类：000272</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中邮核心竞争力灵活配置混合型证券投资基金</w:t>
            </w:r>
          </w:p>
        </w:tc>
        <w:tc>
          <w:tcPr>
            <w:tcW w:w="1072" w:type="pct"/>
            <w:vAlign w:val="center"/>
          </w:tcPr>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000545</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中邮核心科技创新灵活配置混合型证券投资基金</w:t>
            </w:r>
          </w:p>
        </w:tc>
        <w:tc>
          <w:tcPr>
            <w:tcW w:w="1072" w:type="pct"/>
            <w:vAlign w:val="center"/>
          </w:tcPr>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000966</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中邮新思路灵活配置混合型证券投资基金</w:t>
            </w:r>
          </w:p>
        </w:tc>
        <w:tc>
          <w:tcPr>
            <w:tcW w:w="1072" w:type="pct"/>
            <w:vAlign w:val="center"/>
          </w:tcPr>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001224</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中邮趋势精选灵活配置混合型证券投资基金</w:t>
            </w:r>
          </w:p>
        </w:tc>
        <w:tc>
          <w:tcPr>
            <w:tcW w:w="1072" w:type="pct"/>
            <w:vAlign w:val="center"/>
          </w:tcPr>
          <w:p w:rsidR="000E6706" w:rsidRPr="00EF38AA" w:rsidRDefault="000E6706" w:rsidP="000E6706">
            <w:pPr>
              <w:widowControl/>
              <w:jc w:val="center"/>
              <w:rPr>
                <w:rFonts w:ascii="宋体" w:eastAsia="宋体" w:hAnsi="宋体"/>
                <w:color w:val="000000"/>
                <w:sz w:val="24"/>
              </w:rPr>
            </w:pPr>
            <w:r w:rsidRPr="00EF38AA">
              <w:rPr>
                <w:rFonts w:ascii="宋体" w:eastAsia="宋体" w:hAnsi="宋体" w:hint="eastAsia"/>
                <w:color w:val="000000"/>
                <w:sz w:val="24"/>
              </w:rPr>
              <w:t>A类：001225</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中邮信息产业灵活配置混合型证券投资基金</w:t>
            </w:r>
          </w:p>
        </w:tc>
        <w:tc>
          <w:tcPr>
            <w:tcW w:w="1072" w:type="pct"/>
            <w:vAlign w:val="center"/>
          </w:tcPr>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001227</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中邮创新优势灵活配置混合型证券投资基金</w:t>
            </w:r>
          </w:p>
        </w:tc>
        <w:tc>
          <w:tcPr>
            <w:tcW w:w="1072" w:type="pct"/>
            <w:vAlign w:val="center"/>
          </w:tcPr>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001275</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中邮风格轮动灵活配置混合型证券投资基金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001479</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中邮低碳经济灵活配置混合型证券投资基金</w:t>
            </w:r>
          </w:p>
        </w:tc>
        <w:tc>
          <w:tcPr>
            <w:tcW w:w="1072" w:type="pct"/>
            <w:vAlign w:val="center"/>
          </w:tcPr>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001983</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中邮绝对收益策略定期开放混合型发起式证券投资基金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002224</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中邮纯债恒利债券型证券投资基金</w:t>
            </w:r>
          </w:p>
        </w:tc>
        <w:tc>
          <w:tcPr>
            <w:tcW w:w="1072" w:type="pct"/>
            <w:vAlign w:val="center"/>
          </w:tcPr>
          <w:p w:rsidR="000E6706" w:rsidRPr="00EF38AA" w:rsidRDefault="000E6706" w:rsidP="000E6706">
            <w:pPr>
              <w:widowControl/>
              <w:jc w:val="center"/>
              <w:rPr>
                <w:rFonts w:ascii="宋体" w:eastAsia="宋体" w:hAnsi="宋体"/>
                <w:color w:val="000000"/>
                <w:sz w:val="24"/>
              </w:rPr>
            </w:pPr>
            <w:r w:rsidRPr="00EF38AA">
              <w:rPr>
                <w:rFonts w:ascii="宋体" w:eastAsia="宋体" w:hAnsi="宋体" w:hint="eastAsia"/>
                <w:color w:val="000000"/>
                <w:sz w:val="24"/>
              </w:rPr>
              <w:t xml:space="preserve">A类：002276 </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中邮未来新蓝筹灵活配置混合型证券投资基金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002620</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中邮医药健康灵活配置混合型证券投资基金</w:t>
            </w:r>
          </w:p>
        </w:tc>
        <w:tc>
          <w:tcPr>
            <w:tcW w:w="1072" w:type="pct"/>
            <w:vAlign w:val="center"/>
          </w:tcPr>
          <w:p w:rsidR="000E6706" w:rsidRPr="00EF38AA" w:rsidRDefault="000E6706" w:rsidP="000E6706">
            <w:pPr>
              <w:widowControl/>
              <w:jc w:val="center"/>
              <w:rPr>
                <w:rFonts w:ascii="宋体" w:eastAsia="宋体" w:hAnsi="宋体"/>
                <w:color w:val="000000"/>
                <w:sz w:val="24"/>
              </w:rPr>
            </w:pPr>
            <w:r w:rsidRPr="00EF38AA">
              <w:rPr>
                <w:rFonts w:ascii="宋体" w:eastAsia="宋体" w:hAnsi="宋体" w:hint="eastAsia"/>
                <w:color w:val="000000"/>
                <w:sz w:val="24"/>
              </w:rPr>
              <w:t>A类：003284</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中邮消费升级灵活配置混合型发起式证券投资基金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003513</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中邮军民融合灵活配置混合型证券投资基金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004139</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lastRenderedPageBreak/>
              <w:t>中邮纯债优选一年定期开放债券型证券投资基金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A类：007008 </w:t>
            </w:r>
          </w:p>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C类：007009</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中邮研究精选混合型证券投资基金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007777</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中邮科技创新精选混合型证券投资基金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A类：008980 </w:t>
            </w:r>
          </w:p>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C类：008981</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中邮优享一年定期开放混合型证券投资基金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A类：009201 </w:t>
            </w:r>
          </w:p>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C类：009202</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中邮瑞享两年定期开放混合型证券投资基金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A类：009415 </w:t>
            </w:r>
          </w:p>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C类：009416</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中邮价值精选混合型证券投资基金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A类：009488 </w:t>
            </w:r>
          </w:p>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C类：009489</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中邮兴荣价值一年持有期混合型证券投资基金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011001</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color w:val="000000"/>
                <w:sz w:val="24"/>
              </w:rPr>
            </w:pPr>
            <w:r w:rsidRPr="00EF38AA">
              <w:rPr>
                <w:rFonts w:ascii="宋体" w:eastAsia="宋体" w:hAnsi="宋体" w:hint="eastAsia"/>
                <w:sz w:val="24"/>
              </w:rPr>
              <w:t>中邮悦享6个月持有期混合型证券投资基金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A类：011872 </w:t>
            </w:r>
          </w:p>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C类：011873</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中邮鑫享30天滚动持有短债债券型证券投资基金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 xml:space="preserve">A类：013227 </w:t>
            </w:r>
          </w:p>
          <w:p w:rsidR="000E6706" w:rsidRPr="00EF38AA"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C类：013228</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sz w:val="24"/>
              </w:rPr>
            </w:pPr>
            <w:r w:rsidRPr="00EF38AA">
              <w:rPr>
                <w:rFonts w:ascii="宋体" w:eastAsia="宋体" w:hAnsi="宋体" w:hint="eastAsia"/>
                <w:sz w:val="24"/>
              </w:rPr>
              <w:t>中邮睿泽一年持有期债券型证券投资基金</w:t>
            </w:r>
          </w:p>
        </w:tc>
        <w:tc>
          <w:tcPr>
            <w:tcW w:w="1072" w:type="pct"/>
            <w:vAlign w:val="center"/>
          </w:tcPr>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A类：</w:t>
            </w:r>
            <w:r w:rsidRPr="00EF38AA">
              <w:rPr>
                <w:rFonts w:ascii="宋体" w:eastAsia="宋体" w:hAnsi="宋体"/>
                <w:color w:val="000000"/>
                <w:sz w:val="24"/>
              </w:rPr>
              <w:t>015266</w:t>
            </w:r>
          </w:p>
          <w:p w:rsidR="000E6706" w:rsidRPr="00EF38AA" w:rsidRDefault="000E6706" w:rsidP="00FB014A">
            <w:pPr>
              <w:widowControl/>
              <w:jc w:val="center"/>
              <w:rPr>
                <w:rFonts w:ascii="宋体" w:eastAsia="宋体" w:hAnsi="宋体"/>
                <w:color w:val="000000"/>
                <w:sz w:val="24"/>
              </w:rPr>
            </w:pPr>
            <w:r w:rsidRPr="00EF38AA">
              <w:rPr>
                <w:rFonts w:ascii="宋体" w:eastAsia="宋体" w:hAnsi="宋体" w:hint="eastAsia"/>
                <w:color w:val="000000"/>
                <w:sz w:val="24"/>
              </w:rPr>
              <w:t>C类：</w:t>
            </w:r>
            <w:r w:rsidRPr="00EF38AA">
              <w:rPr>
                <w:rFonts w:ascii="宋体" w:eastAsia="宋体" w:hAnsi="宋体"/>
                <w:color w:val="000000"/>
                <w:sz w:val="24"/>
              </w:rPr>
              <w:t>015267</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中邮核心优选混合型证券投资基金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590001</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中邮核心成长混合型证券投资基金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590002</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中邮核心优势灵活配置混合型证券投资基金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A类：590003</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中邮核心主题混合型证券投资基金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590005</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中邮中小盘灵活配置混合型证券投资基金</w:t>
            </w:r>
          </w:p>
        </w:tc>
        <w:tc>
          <w:tcPr>
            <w:tcW w:w="1072" w:type="pct"/>
            <w:vAlign w:val="center"/>
          </w:tcPr>
          <w:p w:rsidR="000E6706" w:rsidRPr="00EF38AA" w:rsidRDefault="000E6706" w:rsidP="00FB014A">
            <w:pPr>
              <w:widowControl/>
              <w:jc w:val="center"/>
              <w:rPr>
                <w:rFonts w:ascii="宋体" w:eastAsia="宋体" w:hAnsi="宋体" w:cs="Arial"/>
                <w:color w:val="000000"/>
                <w:sz w:val="24"/>
              </w:rPr>
            </w:pPr>
            <w:r w:rsidRPr="00EF38AA">
              <w:rPr>
                <w:rFonts w:ascii="宋体" w:eastAsia="宋体" w:hAnsi="宋体" w:hint="eastAsia"/>
                <w:color w:val="000000"/>
                <w:sz w:val="24"/>
              </w:rPr>
              <w:t>590006</w:t>
            </w:r>
          </w:p>
        </w:tc>
      </w:tr>
      <w:tr w:rsidR="000E6706" w:rsidRPr="00EF38AA"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Arial"/>
                <w:sz w:val="24"/>
              </w:rPr>
            </w:pPr>
            <w:r w:rsidRPr="00EF38AA">
              <w:rPr>
                <w:rFonts w:ascii="宋体" w:eastAsia="宋体" w:hAnsi="宋体" w:hint="eastAsia"/>
                <w:sz w:val="24"/>
              </w:rPr>
              <w:t>中邮中证500指数增强型证券投资基金</w:t>
            </w:r>
          </w:p>
        </w:tc>
        <w:tc>
          <w:tcPr>
            <w:tcW w:w="1072" w:type="pct"/>
            <w:vAlign w:val="center"/>
          </w:tcPr>
          <w:p w:rsidR="000E6706" w:rsidRPr="00EF38AA" w:rsidRDefault="000E6706" w:rsidP="000E6706">
            <w:pPr>
              <w:widowControl/>
              <w:jc w:val="center"/>
              <w:rPr>
                <w:rFonts w:ascii="宋体" w:eastAsia="宋体" w:hAnsi="宋体"/>
                <w:color w:val="000000"/>
                <w:sz w:val="24"/>
              </w:rPr>
            </w:pPr>
            <w:r w:rsidRPr="00EF38AA">
              <w:rPr>
                <w:rFonts w:ascii="宋体" w:eastAsia="宋体" w:hAnsi="宋体" w:hint="eastAsia"/>
                <w:color w:val="000000"/>
                <w:sz w:val="24"/>
              </w:rPr>
              <w:t xml:space="preserve">A类：590007 </w:t>
            </w:r>
          </w:p>
        </w:tc>
      </w:tr>
      <w:tr w:rsidR="000E6706" w:rsidTr="00FB014A">
        <w:trPr>
          <w:trHeight w:val="510"/>
          <w:jc w:val="center"/>
        </w:trPr>
        <w:tc>
          <w:tcPr>
            <w:tcW w:w="3928" w:type="pct"/>
            <w:vAlign w:val="center"/>
          </w:tcPr>
          <w:p w:rsidR="000E6706" w:rsidRPr="00EF38AA" w:rsidRDefault="000E6706" w:rsidP="00FB014A">
            <w:pPr>
              <w:widowControl/>
              <w:spacing w:line="360" w:lineRule="auto"/>
              <w:jc w:val="center"/>
              <w:rPr>
                <w:rFonts w:ascii="宋体" w:eastAsia="宋体" w:hAnsi="宋体" w:cs="宋体"/>
                <w:kern w:val="0"/>
                <w:sz w:val="24"/>
              </w:rPr>
            </w:pPr>
            <w:r w:rsidRPr="00EF38AA">
              <w:rPr>
                <w:rFonts w:ascii="宋体" w:eastAsia="宋体" w:hAnsi="宋体" w:hint="eastAsia"/>
                <w:sz w:val="24"/>
              </w:rPr>
              <w:t>中邮战略新兴产业混合型证券投资基金</w:t>
            </w:r>
          </w:p>
        </w:tc>
        <w:tc>
          <w:tcPr>
            <w:tcW w:w="1072" w:type="pct"/>
            <w:vAlign w:val="center"/>
          </w:tcPr>
          <w:p w:rsidR="000E6706" w:rsidRDefault="000E6706" w:rsidP="00FB014A">
            <w:pPr>
              <w:widowControl/>
              <w:jc w:val="center"/>
              <w:rPr>
                <w:rFonts w:ascii="宋体" w:eastAsia="宋体" w:hAnsi="宋体" w:cs="宋体"/>
                <w:kern w:val="0"/>
                <w:sz w:val="24"/>
              </w:rPr>
            </w:pPr>
            <w:r w:rsidRPr="00EF38AA">
              <w:rPr>
                <w:rFonts w:ascii="宋体" w:eastAsia="宋体" w:hAnsi="宋体" w:hint="eastAsia"/>
                <w:color w:val="000000"/>
                <w:sz w:val="24"/>
              </w:rPr>
              <w:t>590008</w:t>
            </w:r>
          </w:p>
        </w:tc>
      </w:tr>
    </w:tbl>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自</w:t>
      </w:r>
      <w:r w:rsidR="000E6706">
        <w:rPr>
          <w:rFonts w:ascii="宋体" w:eastAsia="宋体" w:hAnsi="宋体" w:cs="Times New Roman"/>
          <w:szCs w:val="21"/>
        </w:rPr>
        <w:t>2024</w:t>
      </w:r>
      <w:r>
        <w:rPr>
          <w:rFonts w:ascii="宋体" w:eastAsia="宋体" w:hAnsi="宋体" w:cs="Times New Roman"/>
          <w:szCs w:val="21"/>
        </w:rPr>
        <w:t>年</w:t>
      </w:r>
      <w:r w:rsidR="000E6706">
        <w:rPr>
          <w:rFonts w:ascii="宋体" w:eastAsia="宋体" w:hAnsi="宋体" w:cs="Times New Roman"/>
          <w:szCs w:val="21"/>
        </w:rPr>
        <w:t>4月</w:t>
      </w:r>
      <w:r w:rsidR="0006396D">
        <w:rPr>
          <w:rFonts w:ascii="宋体" w:eastAsia="宋体" w:hAnsi="宋体" w:cs="Times New Roman"/>
          <w:szCs w:val="21"/>
        </w:rPr>
        <w:t>25</w:t>
      </w:r>
      <w:r>
        <w:rPr>
          <w:rFonts w:ascii="宋体" w:eastAsia="宋体" w:hAnsi="宋体" w:cs="Times New Roman"/>
          <w:szCs w:val="21"/>
        </w:rPr>
        <w:t>日起，基金份额持有人可以通过</w:t>
      </w:r>
      <w:r>
        <w:rPr>
          <w:rFonts w:ascii="宋体" w:eastAsia="宋体" w:hAnsi="宋体" w:cs="Times New Roman" w:hint="eastAsia"/>
          <w:szCs w:val="21"/>
        </w:rPr>
        <w:t>邮储银行办理上述基金的转换业务，具体办理时间与基金申购、赎回业务办理时间相同（本公司公告暂停基金转换时除外）。</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投资者通过邮储银行办理上述基金转换业务，转换业务中的申购补差费率享有优惠，基金具体折扣费率以邮储银行活动公告为准。上述基金的原申购费率参见各基金的相关法律文件及本公司发布的最新相关公告。</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C67A08" w:rsidP="004A463F">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lastRenderedPageBreak/>
        <w:t>二、业务规则</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1、基金转换业务是指基金份额持有人申请将其持有本公司管理的某一基金的全部或部分基金份额转换为本公司管理的其他基金的基金份额的行为。</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基金转换只能在同一销售机构办理，且转换的两只基金必须都是由该销售机构销售的同一基金管理人管理的、在同一注册登记机构处注册的基金。同一基金产品的各类份额之间不能相互转换。如欲在其他开通基金转换业务的销售机构办理，须先进行基金份额转托管。</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注册登记机构以收到有效转换申请的当天作为转换申请日(T日)，并在T+1日对投资者T日的基金转换业务申请进行有效性确认。投资者转换基金成功的，注册登记机构在T＋1日为投资者办理权益转换的注册登记手续，投资者通常自T＋2日(含该日)后有权转换或赎回该部分基金份额。经转换后的基金份额持有时间从转换确认日开始重新计算。</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、基金转换以份额为单位进行申请，在转换申请当日规定的交易时间内，投资人可撤销基金转换申请。投资者办理基金转换业务时，转出方的基金和转入方的基金必须处于可申购、可赎回的状态。</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5、基金转换采取“未知价法”，即基金的转换价格以申请受理当日各转出、转入基金的基金份额净值为基准进行计算。</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6、基金转换以份额为单位进行申请，遵循“先进先出”的业务规则，即份额注册日期在前的先转出，份额注册日期在后的后转出。基金转换申请转出的基金份额必须是可用的份额。</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7、发生巨额赎回时，基金管理人可根据基金资产组合情况，决定全额转出或部分转出。</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C67A08" w:rsidP="004A463F">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三、基金转换的计算方式</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szCs w:val="21"/>
        </w:rPr>
        <w:t>1、基金转换费用</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基金转换费用由转出基金赎回费用及基金申购补差费用构成；</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转出基金时,如涉及的转出基金有赎回费用,收取该基金的赎回费用。收取的赎回费归入基金财产的比例不得低于法律法规、中国证监会规定的比例下限以及该基金《基金合同》、《招募说明书（更新）》的相关约定；</w:t>
      </w:r>
    </w:p>
    <w:p w:rsidR="009A292A" w:rsidRDefault="00C67A08">
      <w:pPr>
        <w:widowControl/>
        <w:shd w:val="clear" w:color="auto" w:fill="FFFFFF"/>
        <w:spacing w:line="360" w:lineRule="auto"/>
        <w:ind w:firstLineChars="200" w:firstLine="420"/>
        <w:jc w:val="left"/>
        <w:rPr>
          <w:rFonts w:ascii="宋体" w:eastAsia="宋体" w:hAnsi="宋体"/>
          <w:szCs w:val="21"/>
        </w:rPr>
      </w:pPr>
      <w:r>
        <w:rPr>
          <w:rFonts w:ascii="宋体" w:eastAsia="宋体" w:hAnsi="宋体" w:cs="Times New Roman" w:hint="eastAsia"/>
          <w:szCs w:val="21"/>
        </w:rPr>
        <w:t>（3）</w:t>
      </w:r>
      <w:r>
        <w:rPr>
          <w:rFonts w:ascii="宋体" w:eastAsia="宋体" w:hAnsi="宋体" w:cs="Times New Roman"/>
          <w:szCs w:val="21"/>
        </w:rPr>
        <w:t>转入基金时,从申购费用低的基金向申购费用高的基金转换时,每次收取申购补差费用；从申购费用高的基金向申购费用低的基金转换时,不收取申购补差费用。</w:t>
      </w:r>
      <w:r>
        <w:rPr>
          <w:rFonts w:ascii="宋体" w:eastAsia="宋体" w:hAnsi="宋体"/>
          <w:szCs w:val="21"/>
        </w:rPr>
        <w:t>申购补差费用按照转</w:t>
      </w:r>
      <w:r>
        <w:rPr>
          <w:rFonts w:ascii="宋体" w:eastAsia="宋体" w:hAnsi="宋体" w:hint="eastAsia"/>
          <w:szCs w:val="21"/>
        </w:rPr>
        <w:t>入</w:t>
      </w:r>
      <w:r>
        <w:rPr>
          <w:rFonts w:ascii="宋体" w:eastAsia="宋体" w:hAnsi="宋体"/>
          <w:szCs w:val="21"/>
        </w:rPr>
        <w:t>金额对应的转出基金与转入基金的申购费用差额进行补差，具体收取情况视每次转换时两只基金的申购费率差异情况而定。</w:t>
      </w:r>
    </w:p>
    <w:p w:rsidR="009A292A" w:rsidRDefault="00C67A08">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2、基金转换的计算公式</w:t>
      </w:r>
    </w:p>
    <w:p w:rsidR="009A292A" w:rsidRDefault="00C67A08">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基金转换采取未知价法，以申请当日基金份额净值为基础计算。计算公式如下：</w:t>
      </w:r>
    </w:p>
    <w:p w:rsidR="009A292A" w:rsidRDefault="00C67A08">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转出金额</w:t>
      </w:r>
      <w:r>
        <w:rPr>
          <w:rFonts w:ascii="宋体" w:eastAsia="宋体" w:hAnsi="宋体" w:hint="eastAsia"/>
          <w:szCs w:val="21"/>
        </w:rPr>
        <w:t xml:space="preserve"> </w:t>
      </w:r>
      <w:r>
        <w:rPr>
          <w:rFonts w:ascii="宋体" w:eastAsia="宋体" w:hAnsi="宋体"/>
          <w:szCs w:val="21"/>
        </w:rPr>
        <w:t>= 转出份额×转出基金当日基金份额净值</w:t>
      </w:r>
    </w:p>
    <w:p w:rsidR="009A292A" w:rsidRDefault="00C67A08">
      <w:pPr>
        <w:spacing w:line="360" w:lineRule="auto"/>
        <w:ind w:firstLine="420"/>
        <w:rPr>
          <w:rFonts w:ascii="宋体" w:eastAsia="宋体" w:hAnsi="宋体"/>
          <w:szCs w:val="21"/>
        </w:rPr>
      </w:pPr>
      <w:r>
        <w:rPr>
          <w:rFonts w:ascii="宋体" w:eastAsia="宋体" w:hAnsi="宋体"/>
          <w:szCs w:val="21"/>
        </w:rPr>
        <w:t>转出基金赎回费用</w:t>
      </w:r>
      <w:r>
        <w:rPr>
          <w:rFonts w:ascii="宋体" w:eastAsia="宋体" w:hAnsi="宋体" w:hint="eastAsia"/>
          <w:szCs w:val="21"/>
        </w:rPr>
        <w:t xml:space="preserve"> </w:t>
      </w:r>
      <w:r>
        <w:rPr>
          <w:rFonts w:ascii="宋体" w:eastAsia="宋体" w:hAnsi="宋体"/>
          <w:szCs w:val="21"/>
        </w:rPr>
        <w:t>= 转出金额×转出基金赎回费率</w:t>
      </w:r>
    </w:p>
    <w:p w:rsidR="009A292A" w:rsidRDefault="00C67A08">
      <w:pPr>
        <w:spacing w:line="360" w:lineRule="auto"/>
        <w:ind w:firstLine="420"/>
        <w:rPr>
          <w:rFonts w:ascii="宋体" w:eastAsia="宋体" w:hAnsi="宋体"/>
          <w:szCs w:val="21"/>
        </w:rPr>
      </w:pPr>
      <w:r>
        <w:rPr>
          <w:rFonts w:ascii="宋体" w:eastAsia="宋体" w:hAnsi="宋体" w:hint="eastAsia"/>
          <w:szCs w:val="21"/>
        </w:rPr>
        <w:t>转入金额 =</w:t>
      </w:r>
      <w:r>
        <w:rPr>
          <w:rFonts w:ascii="宋体" w:eastAsia="宋体" w:hAnsi="宋体"/>
          <w:szCs w:val="21"/>
        </w:rPr>
        <w:t xml:space="preserve"> 转出金额</w:t>
      </w:r>
      <w:r>
        <w:rPr>
          <w:rFonts w:ascii="宋体" w:eastAsia="宋体" w:hAnsi="宋体" w:hint="eastAsia"/>
          <w:szCs w:val="21"/>
        </w:rPr>
        <w:t xml:space="preserve"> </w:t>
      </w:r>
      <w:r>
        <w:rPr>
          <w:rFonts w:ascii="宋体" w:eastAsia="宋体" w:hAnsi="宋体"/>
          <w:szCs w:val="21"/>
        </w:rPr>
        <w:t>- 转出基金赎回费用</w:t>
      </w:r>
    </w:p>
    <w:p w:rsidR="009A292A" w:rsidRDefault="00C67A08">
      <w:pPr>
        <w:spacing w:line="360" w:lineRule="auto"/>
        <w:ind w:firstLine="420"/>
        <w:rPr>
          <w:rFonts w:ascii="宋体" w:eastAsia="宋体" w:hAnsi="宋体"/>
          <w:szCs w:val="21"/>
        </w:rPr>
      </w:pPr>
      <w:bookmarkStart w:id="1" w:name="_Hlk130806645"/>
      <w:r>
        <w:rPr>
          <w:rFonts w:ascii="宋体" w:eastAsia="宋体" w:hAnsi="宋体" w:hint="eastAsia"/>
          <w:szCs w:val="21"/>
        </w:rPr>
        <w:t>申购补差费用的计算，分以下四种情况：</w:t>
      </w:r>
    </w:p>
    <w:p w:rsidR="009A292A" w:rsidRDefault="00C67A08">
      <w:pPr>
        <w:spacing w:line="360" w:lineRule="auto"/>
        <w:ind w:firstLine="420"/>
        <w:rPr>
          <w:rFonts w:ascii="宋体" w:eastAsia="宋体" w:hAnsi="宋体"/>
          <w:szCs w:val="21"/>
        </w:rPr>
      </w:pPr>
      <w:r>
        <w:rPr>
          <w:rFonts w:ascii="宋体" w:eastAsia="宋体" w:hAnsi="宋体" w:hint="eastAsia"/>
          <w:szCs w:val="21"/>
        </w:rPr>
        <w:t>（1）从前端收费（比例费率）基金转出，转入其他前端收费（比例费率）基金时：</w:t>
      </w:r>
    </w:p>
    <w:p w:rsidR="009A292A" w:rsidRDefault="00C67A08">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 xml:space="preserve">×转入基金申购费率/（1+转入基金申购费率）- </w:t>
      </w:r>
      <w:r>
        <w:rPr>
          <w:rFonts w:ascii="宋体" w:eastAsia="宋体" w:hAnsi="宋体" w:hint="eastAsia"/>
          <w:szCs w:val="21"/>
        </w:rPr>
        <w:t>转入金额</w:t>
      </w:r>
      <w:r>
        <w:rPr>
          <w:rFonts w:ascii="宋体" w:eastAsia="宋体" w:hAnsi="宋体"/>
          <w:szCs w:val="21"/>
        </w:rPr>
        <w:t>×转出基金申购费率/（1+转出基金申购费率）</w:t>
      </w:r>
    </w:p>
    <w:p w:rsidR="009A292A" w:rsidRDefault="00C67A08">
      <w:pPr>
        <w:spacing w:line="360" w:lineRule="auto"/>
        <w:ind w:firstLine="420"/>
        <w:rPr>
          <w:rFonts w:ascii="宋体" w:eastAsia="宋体" w:hAnsi="宋体"/>
          <w:szCs w:val="21"/>
        </w:rPr>
      </w:pPr>
      <w:r>
        <w:rPr>
          <w:rFonts w:ascii="宋体" w:eastAsia="宋体" w:hAnsi="宋体" w:hint="eastAsia"/>
          <w:szCs w:val="21"/>
        </w:rPr>
        <w:t>（2）从前端收费（固定费用）基金转出，转入其他前端收费（比例费率）基金时：</w:t>
      </w:r>
    </w:p>
    <w:p w:rsidR="009A292A" w:rsidRDefault="00C67A08">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 xml:space="preserve">×转入基金申购费率/（1+转入基金申购费率）- </w:t>
      </w:r>
      <w:r>
        <w:rPr>
          <w:rFonts w:ascii="宋体" w:eastAsia="宋体" w:hAnsi="宋体" w:hint="eastAsia"/>
          <w:szCs w:val="21"/>
        </w:rPr>
        <w:t>固定费用</w:t>
      </w:r>
    </w:p>
    <w:p w:rsidR="009A292A" w:rsidRDefault="00C67A08">
      <w:pPr>
        <w:spacing w:line="360" w:lineRule="auto"/>
        <w:ind w:firstLine="420"/>
        <w:rPr>
          <w:rFonts w:ascii="宋体" w:eastAsia="宋体" w:hAnsi="宋体"/>
          <w:szCs w:val="21"/>
        </w:rPr>
      </w:pPr>
      <w:r>
        <w:rPr>
          <w:rFonts w:ascii="宋体" w:eastAsia="宋体" w:hAnsi="宋体" w:hint="eastAsia"/>
          <w:szCs w:val="21"/>
        </w:rPr>
        <w:t>（3）从前端收费（比例费率）基金转出，转入其他前端收费（固定费用）基金时：</w:t>
      </w:r>
    </w:p>
    <w:p w:rsidR="009A292A" w:rsidRDefault="00C67A08">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固定费用 -</w:t>
      </w:r>
      <w:r>
        <w:rPr>
          <w:rFonts w:ascii="宋体" w:eastAsia="宋体" w:hAnsi="宋体"/>
          <w:szCs w:val="21"/>
        </w:rPr>
        <w:t xml:space="preserve"> </w:t>
      </w:r>
      <w:r>
        <w:rPr>
          <w:rFonts w:ascii="宋体" w:eastAsia="宋体" w:hAnsi="宋体" w:hint="eastAsia"/>
          <w:szCs w:val="21"/>
        </w:rPr>
        <w:t>转入金额</w:t>
      </w:r>
      <w:r>
        <w:rPr>
          <w:rFonts w:ascii="宋体" w:eastAsia="宋体" w:hAnsi="宋体"/>
          <w:szCs w:val="21"/>
        </w:rPr>
        <w:t>×转</w:t>
      </w:r>
      <w:r>
        <w:rPr>
          <w:rFonts w:ascii="宋体" w:eastAsia="宋体" w:hAnsi="宋体" w:hint="eastAsia"/>
          <w:szCs w:val="21"/>
        </w:rPr>
        <w:t>出</w:t>
      </w:r>
      <w:r>
        <w:rPr>
          <w:rFonts w:ascii="宋体" w:eastAsia="宋体" w:hAnsi="宋体"/>
          <w:szCs w:val="21"/>
        </w:rPr>
        <w:t>基金申购费率/（1+转</w:t>
      </w:r>
      <w:r>
        <w:rPr>
          <w:rFonts w:ascii="宋体" w:eastAsia="宋体" w:hAnsi="宋体" w:hint="eastAsia"/>
          <w:szCs w:val="21"/>
        </w:rPr>
        <w:t>出</w:t>
      </w:r>
      <w:r>
        <w:rPr>
          <w:rFonts w:ascii="宋体" w:eastAsia="宋体" w:hAnsi="宋体"/>
          <w:szCs w:val="21"/>
        </w:rPr>
        <w:t>基金申购费率）</w:t>
      </w:r>
    </w:p>
    <w:p w:rsidR="009A292A" w:rsidRDefault="00C67A08">
      <w:pPr>
        <w:spacing w:line="360" w:lineRule="auto"/>
        <w:ind w:firstLine="420"/>
        <w:rPr>
          <w:rFonts w:ascii="宋体" w:eastAsia="宋体" w:hAnsi="宋体"/>
          <w:szCs w:val="21"/>
        </w:rPr>
      </w:pPr>
      <w:r>
        <w:rPr>
          <w:rFonts w:ascii="宋体" w:eastAsia="宋体" w:hAnsi="宋体" w:hint="eastAsia"/>
          <w:szCs w:val="21"/>
        </w:rPr>
        <w:t>（4）从前端收费（固定费用）基金转出，转入其他前端收费（固定费用）基金时：</w:t>
      </w:r>
    </w:p>
    <w:p w:rsidR="009A292A" w:rsidRDefault="00C67A08">
      <w:pPr>
        <w:spacing w:line="360" w:lineRule="auto"/>
        <w:ind w:firstLine="420"/>
        <w:rPr>
          <w:rFonts w:ascii="宋体" w:eastAsia="宋体" w:hAnsi="宋体"/>
          <w:szCs w:val="21"/>
        </w:rPr>
      </w:pPr>
      <w:r>
        <w:rPr>
          <w:rFonts w:ascii="宋体" w:eastAsia="宋体" w:hAnsi="宋体"/>
          <w:szCs w:val="21"/>
        </w:rPr>
        <w:t>申购补差费用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转入基金的固定费用－转出基金的固定费用</w:t>
      </w:r>
    </w:p>
    <w:p w:rsidR="009A292A" w:rsidRDefault="00C67A08">
      <w:pPr>
        <w:spacing w:line="360" w:lineRule="auto"/>
        <w:ind w:firstLine="420"/>
        <w:rPr>
          <w:rFonts w:ascii="宋体" w:eastAsia="宋体" w:hAnsi="宋体"/>
          <w:szCs w:val="21"/>
        </w:rPr>
      </w:pPr>
      <w:r>
        <w:rPr>
          <w:rFonts w:ascii="宋体" w:eastAsia="宋体" w:hAnsi="宋体" w:hint="eastAsia"/>
          <w:szCs w:val="21"/>
        </w:rPr>
        <w:t xml:space="preserve">净转入金额 </w:t>
      </w:r>
      <w:r>
        <w:rPr>
          <w:rFonts w:ascii="宋体" w:eastAsia="宋体" w:hAnsi="宋体"/>
          <w:szCs w:val="21"/>
        </w:rPr>
        <w:t>= 转入金额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申购</w:t>
      </w:r>
      <w:r>
        <w:rPr>
          <w:rFonts w:ascii="宋体" w:eastAsia="宋体" w:hAnsi="宋体"/>
          <w:szCs w:val="21"/>
        </w:rPr>
        <w:t>补差费用</w:t>
      </w:r>
    </w:p>
    <w:bookmarkEnd w:id="1"/>
    <w:p w:rsidR="009A292A" w:rsidRDefault="00C67A08">
      <w:pPr>
        <w:spacing w:line="360" w:lineRule="auto"/>
        <w:ind w:firstLine="420"/>
        <w:rPr>
          <w:rFonts w:ascii="宋体" w:eastAsia="宋体" w:hAnsi="宋体"/>
          <w:szCs w:val="21"/>
        </w:rPr>
      </w:pPr>
      <w:r>
        <w:rPr>
          <w:rFonts w:ascii="宋体" w:eastAsia="宋体" w:hAnsi="宋体"/>
          <w:szCs w:val="21"/>
        </w:rPr>
        <w:t>转入份额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净</w:t>
      </w:r>
      <w:r>
        <w:rPr>
          <w:rFonts w:ascii="宋体" w:eastAsia="宋体" w:hAnsi="宋体"/>
          <w:szCs w:val="21"/>
        </w:rPr>
        <w:t>转入金额</w:t>
      </w:r>
      <w:r>
        <w:rPr>
          <w:rFonts w:ascii="宋体" w:eastAsia="宋体" w:hAnsi="宋体" w:hint="eastAsia"/>
          <w:szCs w:val="21"/>
        </w:rPr>
        <w:t xml:space="preserve"> </w:t>
      </w:r>
      <w:r>
        <w:rPr>
          <w:rFonts w:ascii="宋体" w:eastAsia="宋体" w:hAnsi="宋体"/>
          <w:szCs w:val="21"/>
        </w:rPr>
        <w:t>/ 转入基金当日基金份额净值</w:t>
      </w:r>
    </w:p>
    <w:p w:rsidR="009A292A" w:rsidRDefault="009A292A">
      <w:pPr>
        <w:spacing w:line="360" w:lineRule="auto"/>
        <w:ind w:firstLine="420"/>
        <w:rPr>
          <w:rFonts w:ascii="宋体" w:eastAsia="宋体" w:hAnsi="宋体"/>
          <w:szCs w:val="21"/>
        </w:rPr>
      </w:pPr>
    </w:p>
    <w:p w:rsidR="009A292A" w:rsidRDefault="00C67A08" w:rsidP="004A463F">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四、暂停基金转换的情形及处理</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出现下列情况之一时，基金管理人可以暂停基金转换业务：</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1、不可抗力的原因导致基金无法正常运作。</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2、证券交易场所在交易时间非正常停市，导致基金管理人无法计算当日基金份额净值。</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3、因市场剧烈波动或其他原因而出现连续巨额赎回，基金管理人认为有必要暂停接受该基金份额转出申请。</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4、法律、法规或《基金合同》、《基金招募说明书》规定的其他情形。</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基金暂停转换或暂停后重新开放转换时，基金管理人应在中国证监会规定的信息披露媒介上公告。</w:t>
      </w:r>
    </w:p>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C67A08" w:rsidP="004A463F">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rPr>
        <w:t>五、重要提示</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1、优惠活动的费率折扣由邮储银行决定和执行，本公司根据邮储银行提供的费率折扣办理。优惠活动解释权归邮储银行所有，且其有权对上述优惠活动内容进行变更，本公司不再另行公告。有关优惠活动具体事宜，请咨询邮储银行。</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2、投资者欲了解基金的详细情况，请仔细阅读刊登于本公司旗下基金的《基金合同》、《招募说明书》等法律文件以及相关业务公告。</w:t>
      </w:r>
    </w:p>
    <w:p w:rsidR="00900228" w:rsidRDefault="00900228">
      <w:pPr>
        <w:widowControl/>
        <w:shd w:val="clear" w:color="auto" w:fill="FFFFFF"/>
        <w:spacing w:line="360" w:lineRule="auto"/>
        <w:ind w:firstLineChars="200" w:firstLine="420"/>
        <w:jc w:val="left"/>
        <w:rPr>
          <w:rFonts w:ascii="宋体" w:eastAsia="宋体" w:hAnsi="宋体" w:cs="Times New Roman"/>
          <w:szCs w:val="21"/>
        </w:rPr>
      </w:pPr>
    </w:p>
    <w:p w:rsidR="009A292A" w:rsidRPr="00900228" w:rsidRDefault="00C67A08" w:rsidP="004A463F">
      <w:pPr>
        <w:pStyle w:val="2"/>
        <w:spacing w:beforeLines="50" w:afterLines="50" w:line="240" w:lineRule="auto"/>
        <w:rPr>
          <w:rFonts w:ascii="宋体" w:eastAsia="宋体" w:hAnsi="宋体"/>
          <w:b w:val="0"/>
          <w:bCs/>
          <w:sz w:val="21"/>
          <w:szCs w:val="21"/>
        </w:rPr>
      </w:pPr>
      <w:r w:rsidRPr="00900228">
        <w:rPr>
          <w:rFonts w:ascii="宋体" w:eastAsia="宋体" w:hAnsi="宋体" w:hint="eastAsia"/>
          <w:bCs/>
          <w:sz w:val="21"/>
          <w:szCs w:val="21"/>
          <w:lang w:val="en-US"/>
        </w:rPr>
        <w:t>六、</w:t>
      </w:r>
      <w:r w:rsidRPr="00900228">
        <w:rPr>
          <w:rFonts w:ascii="宋体" w:eastAsia="宋体" w:hAnsi="宋体" w:hint="eastAsia"/>
          <w:bCs/>
          <w:sz w:val="21"/>
          <w:szCs w:val="21"/>
        </w:rPr>
        <w:t>可通过以下途径了解或咨询相关情况</w:t>
      </w:r>
    </w:p>
    <w:tbl>
      <w:tblPr>
        <w:tblW w:w="4999" w:type="pct"/>
        <w:tblLayout w:type="fixed"/>
        <w:tblLook w:val="04A0"/>
      </w:tblPr>
      <w:tblGrid>
        <w:gridCol w:w="3760"/>
        <w:gridCol w:w="2766"/>
        <w:gridCol w:w="1994"/>
      </w:tblGrid>
      <w:tr w:rsidR="009A292A" w:rsidRPr="00900228" w:rsidTr="00900228">
        <w:trPr>
          <w:trHeight w:val="567"/>
        </w:trPr>
        <w:tc>
          <w:tcPr>
            <w:tcW w:w="2206" w:type="pct"/>
            <w:tcBorders>
              <w:top w:val="single" w:sz="4" w:space="0" w:color="auto"/>
              <w:left w:val="single" w:sz="4" w:space="0" w:color="auto"/>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机构名称</w:t>
            </w:r>
          </w:p>
        </w:tc>
        <w:tc>
          <w:tcPr>
            <w:tcW w:w="1623" w:type="pct"/>
            <w:tcBorders>
              <w:top w:val="single" w:sz="4" w:space="0" w:color="auto"/>
              <w:left w:val="nil"/>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网址</w:t>
            </w:r>
          </w:p>
        </w:tc>
        <w:tc>
          <w:tcPr>
            <w:tcW w:w="1170" w:type="pct"/>
            <w:tcBorders>
              <w:top w:val="single" w:sz="4" w:space="0" w:color="auto"/>
              <w:left w:val="nil"/>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客服热线</w:t>
            </w:r>
          </w:p>
        </w:tc>
      </w:tr>
      <w:tr w:rsidR="009A292A" w:rsidRPr="00900228" w:rsidTr="00900228">
        <w:trPr>
          <w:trHeight w:val="567"/>
        </w:trPr>
        <w:tc>
          <w:tcPr>
            <w:tcW w:w="2206" w:type="pct"/>
            <w:tcBorders>
              <w:top w:val="nil"/>
              <w:left w:val="single" w:sz="4" w:space="0" w:color="auto"/>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中国邮政储蓄银行股份有限公司</w:t>
            </w:r>
          </w:p>
        </w:tc>
        <w:tc>
          <w:tcPr>
            <w:tcW w:w="1623" w:type="pct"/>
            <w:tcBorders>
              <w:top w:val="nil"/>
              <w:left w:val="nil"/>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www.psbc.com</w:t>
            </w:r>
          </w:p>
        </w:tc>
        <w:tc>
          <w:tcPr>
            <w:tcW w:w="1170" w:type="pct"/>
            <w:tcBorders>
              <w:top w:val="nil"/>
              <w:left w:val="nil"/>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95580</w:t>
            </w:r>
          </w:p>
        </w:tc>
      </w:tr>
      <w:tr w:rsidR="009A292A" w:rsidRPr="00900228" w:rsidTr="00900228">
        <w:trPr>
          <w:trHeight w:val="567"/>
        </w:trPr>
        <w:tc>
          <w:tcPr>
            <w:tcW w:w="2206" w:type="pct"/>
            <w:tcBorders>
              <w:top w:val="nil"/>
              <w:left w:val="single" w:sz="4" w:space="0" w:color="auto"/>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hint="eastAsia"/>
                <w:szCs w:val="21"/>
              </w:rPr>
              <w:t>中邮创业基金管理股份有限公司</w:t>
            </w:r>
          </w:p>
        </w:tc>
        <w:tc>
          <w:tcPr>
            <w:tcW w:w="1623" w:type="pct"/>
            <w:tcBorders>
              <w:top w:val="nil"/>
              <w:left w:val="nil"/>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www.postfund.com.cn</w:t>
            </w:r>
          </w:p>
        </w:tc>
        <w:tc>
          <w:tcPr>
            <w:tcW w:w="1170" w:type="pct"/>
            <w:tcBorders>
              <w:top w:val="nil"/>
              <w:left w:val="nil"/>
              <w:bottom w:val="single" w:sz="4" w:space="0" w:color="auto"/>
              <w:right w:val="single" w:sz="4" w:space="0" w:color="auto"/>
            </w:tcBorders>
            <w:vAlign w:val="center"/>
          </w:tcPr>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400-880-1618</w:t>
            </w:r>
          </w:p>
          <w:p w:rsidR="009A292A" w:rsidRPr="00900228" w:rsidRDefault="00C67A08" w:rsidP="00900228">
            <w:pPr>
              <w:widowControl/>
              <w:shd w:val="clear" w:color="auto" w:fill="FFFFFF"/>
              <w:jc w:val="center"/>
              <w:rPr>
                <w:rFonts w:ascii="宋体" w:eastAsia="宋体" w:hAnsi="宋体" w:cs="Times New Roman"/>
                <w:szCs w:val="21"/>
              </w:rPr>
            </w:pPr>
            <w:r w:rsidRPr="00900228">
              <w:rPr>
                <w:rFonts w:ascii="宋体" w:eastAsia="宋体" w:hAnsi="宋体" w:cs="Times New Roman"/>
                <w:szCs w:val="21"/>
              </w:rPr>
              <w:t>010-58511618</w:t>
            </w:r>
          </w:p>
        </w:tc>
      </w:tr>
    </w:tbl>
    <w:p w:rsidR="009A292A" w:rsidRDefault="009A292A">
      <w:pPr>
        <w:widowControl/>
        <w:shd w:val="clear" w:color="auto" w:fill="FFFFFF"/>
        <w:spacing w:line="360" w:lineRule="auto"/>
        <w:ind w:firstLineChars="200" w:firstLine="420"/>
        <w:jc w:val="left"/>
        <w:rPr>
          <w:rFonts w:ascii="宋体" w:eastAsia="宋体" w:hAnsi="宋体" w:cs="Times New Roman"/>
          <w:szCs w:val="21"/>
        </w:rPr>
      </w:pPr>
    </w:p>
    <w:p w:rsidR="009A292A" w:rsidRDefault="00C67A08" w:rsidP="004A463F">
      <w:pPr>
        <w:pStyle w:val="2"/>
        <w:spacing w:beforeLines="50" w:afterLines="50" w:line="240" w:lineRule="auto"/>
        <w:ind w:left="420" w:hanging="420"/>
        <w:rPr>
          <w:rFonts w:ascii="宋体" w:eastAsia="宋体" w:hAnsi="宋体"/>
          <w:bCs/>
          <w:sz w:val="21"/>
          <w:szCs w:val="21"/>
        </w:rPr>
      </w:pPr>
      <w:r>
        <w:rPr>
          <w:rFonts w:ascii="宋体" w:eastAsia="宋体" w:hAnsi="宋体" w:hint="eastAsia"/>
          <w:bCs/>
          <w:sz w:val="21"/>
          <w:szCs w:val="21"/>
          <w:lang w:val="en-US"/>
        </w:rPr>
        <w:t>七、</w:t>
      </w:r>
      <w:r>
        <w:rPr>
          <w:rFonts w:ascii="宋体" w:eastAsia="宋体" w:hAnsi="宋体" w:hint="eastAsia"/>
          <w:bCs/>
          <w:sz w:val="21"/>
          <w:szCs w:val="21"/>
        </w:rPr>
        <w:t>风险提示</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9A292A" w:rsidRDefault="00C67A08">
      <w:pPr>
        <w:widowControl/>
        <w:shd w:val="clear" w:color="auto" w:fill="FFFFFF"/>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特此公告。</w:t>
      </w:r>
    </w:p>
    <w:p w:rsidR="009A292A" w:rsidRDefault="00C67A08">
      <w:pPr>
        <w:widowControl/>
        <w:shd w:val="clear" w:color="auto" w:fill="FFFFFF"/>
        <w:spacing w:line="360" w:lineRule="auto"/>
        <w:jc w:val="left"/>
        <w:rPr>
          <w:rFonts w:ascii="宋体" w:eastAsia="宋体" w:hAnsi="宋体" w:cs="Times New Roman"/>
          <w:szCs w:val="21"/>
        </w:rPr>
      </w:pPr>
      <w:r>
        <w:rPr>
          <w:rFonts w:ascii="宋体" w:eastAsia="宋体" w:hAnsi="宋体" w:cs="Times New Roman" w:hint="eastAsia"/>
          <w:szCs w:val="21"/>
        </w:rPr>
        <w:t>   </w:t>
      </w:r>
    </w:p>
    <w:p w:rsidR="00900228" w:rsidRDefault="00900228">
      <w:pPr>
        <w:widowControl/>
        <w:shd w:val="clear" w:color="auto" w:fill="FFFFFF"/>
        <w:spacing w:line="360" w:lineRule="auto"/>
        <w:jc w:val="left"/>
        <w:rPr>
          <w:rFonts w:ascii="宋体" w:eastAsia="宋体" w:hAnsi="宋体" w:cs="Times New Roman"/>
          <w:szCs w:val="21"/>
        </w:rPr>
      </w:pPr>
    </w:p>
    <w:p w:rsidR="009A292A" w:rsidRDefault="00C67A08">
      <w:pPr>
        <w:widowControl/>
        <w:shd w:val="clear" w:color="auto" w:fill="FFFFFF"/>
        <w:spacing w:line="360" w:lineRule="auto"/>
        <w:jc w:val="right"/>
        <w:rPr>
          <w:rFonts w:ascii="宋体" w:eastAsia="宋体" w:hAnsi="宋体" w:cs="Times New Roman"/>
          <w:szCs w:val="21"/>
        </w:rPr>
      </w:pPr>
      <w:r>
        <w:rPr>
          <w:rFonts w:ascii="宋体" w:eastAsia="宋体" w:hAnsi="宋体" w:cs="Times New Roman" w:hint="eastAsia"/>
          <w:szCs w:val="21"/>
        </w:rPr>
        <w:t>中邮创业基金管理股份有限公司</w:t>
      </w:r>
    </w:p>
    <w:p w:rsidR="009A292A" w:rsidRDefault="000E6706">
      <w:pPr>
        <w:widowControl/>
        <w:shd w:val="clear" w:color="auto" w:fill="FFFFFF"/>
        <w:spacing w:line="360" w:lineRule="auto"/>
        <w:jc w:val="right"/>
        <w:rPr>
          <w:rFonts w:ascii="宋体" w:eastAsia="宋体" w:hAnsi="宋体" w:cs="Times New Roman"/>
          <w:szCs w:val="21"/>
        </w:rPr>
      </w:pPr>
      <w:r>
        <w:rPr>
          <w:rFonts w:ascii="宋体" w:eastAsia="宋体" w:hAnsi="宋体" w:cs="Times New Roman"/>
          <w:szCs w:val="21"/>
        </w:rPr>
        <w:t>2024年4月</w:t>
      </w:r>
      <w:r w:rsidR="0006396D">
        <w:rPr>
          <w:rFonts w:ascii="宋体" w:eastAsia="宋体" w:hAnsi="宋体" w:cs="Times New Roman"/>
          <w:szCs w:val="21"/>
        </w:rPr>
        <w:t>25</w:t>
      </w:r>
      <w:r>
        <w:rPr>
          <w:rFonts w:ascii="宋体" w:eastAsia="宋体" w:hAnsi="宋体" w:cs="Times New Roman"/>
          <w:szCs w:val="21"/>
        </w:rPr>
        <w:t>日</w:t>
      </w:r>
    </w:p>
    <w:sectPr w:rsidR="009A292A" w:rsidSect="002911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0877434"/>
    <w:rsid w:val="00054D99"/>
    <w:rsid w:val="0006396D"/>
    <w:rsid w:val="000844EF"/>
    <w:rsid w:val="000B2897"/>
    <w:rsid w:val="000B7042"/>
    <w:rsid w:val="000D3519"/>
    <w:rsid w:val="000E5206"/>
    <w:rsid w:val="000E6706"/>
    <w:rsid w:val="00110B07"/>
    <w:rsid w:val="0014787A"/>
    <w:rsid w:val="001A7921"/>
    <w:rsid w:val="001B75C3"/>
    <w:rsid w:val="00237F2D"/>
    <w:rsid w:val="00271E8B"/>
    <w:rsid w:val="0029114F"/>
    <w:rsid w:val="002A42A6"/>
    <w:rsid w:val="002C1A3C"/>
    <w:rsid w:val="002F47DE"/>
    <w:rsid w:val="00307D0E"/>
    <w:rsid w:val="003164C5"/>
    <w:rsid w:val="003571D2"/>
    <w:rsid w:val="00372DDA"/>
    <w:rsid w:val="003A107A"/>
    <w:rsid w:val="00404988"/>
    <w:rsid w:val="00416C0E"/>
    <w:rsid w:val="00423607"/>
    <w:rsid w:val="00425D83"/>
    <w:rsid w:val="00446169"/>
    <w:rsid w:val="0045193E"/>
    <w:rsid w:val="00451C0B"/>
    <w:rsid w:val="00452701"/>
    <w:rsid w:val="004739BB"/>
    <w:rsid w:val="004A463F"/>
    <w:rsid w:val="004B2337"/>
    <w:rsid w:val="004B4C84"/>
    <w:rsid w:val="004E1F04"/>
    <w:rsid w:val="005452F2"/>
    <w:rsid w:val="00557DF1"/>
    <w:rsid w:val="005A25BD"/>
    <w:rsid w:val="005B1931"/>
    <w:rsid w:val="0064635B"/>
    <w:rsid w:val="00672B3D"/>
    <w:rsid w:val="00696F0C"/>
    <w:rsid w:val="006E7634"/>
    <w:rsid w:val="006F463A"/>
    <w:rsid w:val="00792365"/>
    <w:rsid w:val="007D60DA"/>
    <w:rsid w:val="007F15A4"/>
    <w:rsid w:val="00814E20"/>
    <w:rsid w:val="00844451"/>
    <w:rsid w:val="00847A68"/>
    <w:rsid w:val="00862D41"/>
    <w:rsid w:val="00877434"/>
    <w:rsid w:val="008B2A42"/>
    <w:rsid w:val="00900228"/>
    <w:rsid w:val="00900363"/>
    <w:rsid w:val="00941F17"/>
    <w:rsid w:val="00945775"/>
    <w:rsid w:val="009468B3"/>
    <w:rsid w:val="00962D5C"/>
    <w:rsid w:val="0097657C"/>
    <w:rsid w:val="0099164A"/>
    <w:rsid w:val="009A292A"/>
    <w:rsid w:val="009A335E"/>
    <w:rsid w:val="009B695B"/>
    <w:rsid w:val="009C0F80"/>
    <w:rsid w:val="009E3052"/>
    <w:rsid w:val="00A0288F"/>
    <w:rsid w:val="00A071DC"/>
    <w:rsid w:val="00A16E9C"/>
    <w:rsid w:val="00A25501"/>
    <w:rsid w:val="00A33088"/>
    <w:rsid w:val="00A45D3E"/>
    <w:rsid w:val="00A5100F"/>
    <w:rsid w:val="00A8468E"/>
    <w:rsid w:val="00A918A4"/>
    <w:rsid w:val="00A923AF"/>
    <w:rsid w:val="00A95C6A"/>
    <w:rsid w:val="00AA468F"/>
    <w:rsid w:val="00AA7079"/>
    <w:rsid w:val="00AF3F79"/>
    <w:rsid w:val="00AF42F4"/>
    <w:rsid w:val="00B3513F"/>
    <w:rsid w:val="00B74AC9"/>
    <w:rsid w:val="00BC26C8"/>
    <w:rsid w:val="00BC6B60"/>
    <w:rsid w:val="00BD40F5"/>
    <w:rsid w:val="00BD7750"/>
    <w:rsid w:val="00C40EF9"/>
    <w:rsid w:val="00C67A08"/>
    <w:rsid w:val="00C75EEF"/>
    <w:rsid w:val="00C83963"/>
    <w:rsid w:val="00CA1B7B"/>
    <w:rsid w:val="00CF288D"/>
    <w:rsid w:val="00D0581D"/>
    <w:rsid w:val="00D130F0"/>
    <w:rsid w:val="00D272F1"/>
    <w:rsid w:val="00D449EA"/>
    <w:rsid w:val="00D452C4"/>
    <w:rsid w:val="00E164AF"/>
    <w:rsid w:val="00E400DF"/>
    <w:rsid w:val="00E72A50"/>
    <w:rsid w:val="00E968DA"/>
    <w:rsid w:val="00EA2EC1"/>
    <w:rsid w:val="00ED3AFD"/>
    <w:rsid w:val="00EF38AA"/>
    <w:rsid w:val="00F0094E"/>
    <w:rsid w:val="00F07891"/>
    <w:rsid w:val="00F513E0"/>
    <w:rsid w:val="00F90E59"/>
    <w:rsid w:val="00F96A34"/>
    <w:rsid w:val="00FA7E69"/>
    <w:rsid w:val="00FD6FFD"/>
    <w:rsid w:val="00FE7EA1"/>
    <w:rsid w:val="1EC04E9E"/>
    <w:rsid w:val="2E781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4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29114F"/>
    <w:pPr>
      <w:keepNext/>
      <w:keepLines/>
      <w:spacing w:before="260" w:after="260" w:line="413" w:lineRule="auto"/>
      <w:outlineLvl w:val="1"/>
    </w:pPr>
    <w:rPr>
      <w:rFonts w:ascii="Arial" w:eastAsia="黑体" w:hAnsi="Arial" w:cs="Times New Roman"/>
      <w:b/>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semiHidden/>
    <w:unhideWhenUsed/>
    <w:rsid w:val="0029114F"/>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Char"/>
    <w:uiPriority w:val="99"/>
    <w:unhideWhenUsed/>
    <w:qFormat/>
    <w:rsid w:val="0029114F"/>
    <w:pPr>
      <w:tabs>
        <w:tab w:val="center" w:pos="4153"/>
        <w:tab w:val="right" w:pos="8306"/>
      </w:tabs>
      <w:snapToGrid w:val="0"/>
      <w:jc w:val="left"/>
    </w:pPr>
    <w:rPr>
      <w:sz w:val="18"/>
      <w:szCs w:val="18"/>
    </w:rPr>
  </w:style>
  <w:style w:type="paragraph" w:styleId="a4">
    <w:name w:val="header"/>
    <w:basedOn w:val="a"/>
    <w:link w:val="Char0"/>
    <w:uiPriority w:val="99"/>
    <w:unhideWhenUsed/>
    <w:rsid w:val="0029114F"/>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2911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缩进 2 Char"/>
    <w:basedOn w:val="a0"/>
    <w:link w:val="20"/>
    <w:uiPriority w:val="99"/>
    <w:semiHidden/>
    <w:rsid w:val="0029114F"/>
    <w:rPr>
      <w:rFonts w:ascii="宋体" w:eastAsia="宋体" w:hAnsi="宋体" w:cs="宋体"/>
      <w:kern w:val="0"/>
      <w:sz w:val="24"/>
      <w:szCs w:val="24"/>
    </w:rPr>
  </w:style>
  <w:style w:type="character" w:customStyle="1" w:styleId="2Char">
    <w:name w:val="标题 2 Char"/>
    <w:basedOn w:val="a0"/>
    <w:link w:val="2"/>
    <w:qFormat/>
    <w:rsid w:val="0029114F"/>
    <w:rPr>
      <w:rFonts w:ascii="Arial" w:eastAsia="黑体" w:hAnsi="Arial" w:cs="Times New Roman"/>
      <w:b/>
      <w:sz w:val="32"/>
      <w:szCs w:val="20"/>
      <w:lang w:val="zh-CN" w:eastAsia="zh-CN"/>
    </w:rPr>
  </w:style>
  <w:style w:type="character" w:customStyle="1" w:styleId="Char0">
    <w:name w:val="页眉 Char"/>
    <w:basedOn w:val="a0"/>
    <w:link w:val="a4"/>
    <w:uiPriority w:val="99"/>
    <w:rsid w:val="0029114F"/>
    <w:rPr>
      <w:sz w:val="18"/>
      <w:szCs w:val="18"/>
    </w:rPr>
  </w:style>
  <w:style w:type="character" w:customStyle="1" w:styleId="Char">
    <w:name w:val="页脚 Char"/>
    <w:basedOn w:val="a0"/>
    <w:link w:val="a3"/>
    <w:uiPriority w:val="99"/>
    <w:qFormat/>
    <w:rsid w:val="0029114F"/>
    <w:rPr>
      <w:sz w:val="18"/>
      <w:szCs w:val="18"/>
    </w:rPr>
  </w:style>
  <w:style w:type="paragraph" w:customStyle="1" w:styleId="1">
    <w:name w:val="修订1"/>
    <w:hidden/>
    <w:uiPriority w:val="99"/>
    <w:semiHidden/>
    <w:qFormat/>
    <w:rsid w:val="0029114F"/>
    <w:rPr>
      <w:rFonts w:asciiTheme="minorHAnsi" w:eastAsiaTheme="minorEastAsia" w:hAnsiTheme="minorHAnsi" w:cstheme="minorBidi"/>
      <w:kern w:val="2"/>
      <w:sz w:val="21"/>
      <w:szCs w:val="22"/>
    </w:rPr>
  </w:style>
  <w:style w:type="paragraph" w:styleId="a6">
    <w:name w:val="Revision"/>
    <w:hidden/>
    <w:uiPriority w:val="99"/>
    <w:semiHidden/>
    <w:rsid w:val="002A42A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4</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金凯</dc:creator>
  <cp:lastModifiedBy>ZHONGM</cp:lastModifiedBy>
  <cp:revision>2</cp:revision>
  <dcterms:created xsi:type="dcterms:W3CDTF">2024-04-24T16:01:00Z</dcterms:created>
  <dcterms:modified xsi:type="dcterms:W3CDTF">2024-04-24T16:01:00Z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EBF517C9DFBD43EC99A82704A1250064_13</vt:lpwstr>
  </property>
</Properties>
</file>