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CA" w:rsidRDefault="004F0132" w:rsidP="00E047F2">
      <w:pPr>
        <w:widowControl/>
        <w:spacing w:line="360" w:lineRule="auto"/>
        <w:jc w:val="center"/>
        <w:rPr>
          <w:rFonts w:ascii="Arial" w:eastAsiaTheme="minorEastAsia" w:hAnsi="Arial" w:cs="Arial"/>
          <w:b/>
          <w:bCs/>
          <w:kern w:val="0"/>
          <w:szCs w:val="21"/>
        </w:rPr>
      </w:pPr>
      <w:bookmarkStart w:id="0" w:name="_GoBack"/>
      <w:bookmarkEnd w:id="0"/>
      <w:r w:rsidRPr="00622415">
        <w:rPr>
          <w:rFonts w:ascii="Arial" w:eastAsiaTheme="minorEastAsia" w:hAnsi="Arial" w:cs="Arial"/>
          <w:b/>
          <w:bCs/>
          <w:kern w:val="0"/>
          <w:szCs w:val="21"/>
        </w:rPr>
        <w:t>景顺长城基金管理有限公司关于旗下部分基金新增</w:t>
      </w:r>
      <w:r w:rsidR="00F855CA" w:rsidRPr="00F855CA">
        <w:rPr>
          <w:rFonts w:ascii="Arial" w:eastAsiaTheme="minorEastAsia" w:hAnsi="Arial" w:cs="Arial" w:hint="eastAsia"/>
          <w:b/>
          <w:bCs/>
          <w:kern w:val="0"/>
          <w:szCs w:val="21"/>
        </w:rPr>
        <w:t>招商银行股份有限公司招赢通平台</w:t>
      </w:r>
    </w:p>
    <w:p w:rsidR="0098471D" w:rsidRPr="00FD5083" w:rsidRDefault="00F855CA" w:rsidP="00E047F2">
      <w:pPr>
        <w:widowControl/>
        <w:spacing w:line="360" w:lineRule="auto"/>
        <w:jc w:val="center"/>
        <w:rPr>
          <w:rFonts w:ascii="Arial" w:hAnsi="Arial" w:cs="Arial"/>
          <w:b/>
          <w:bCs/>
          <w:kern w:val="0"/>
          <w:szCs w:val="21"/>
        </w:rPr>
      </w:pPr>
      <w:r w:rsidRPr="00F855CA">
        <w:rPr>
          <w:rFonts w:ascii="Arial" w:eastAsiaTheme="minorEastAsia" w:hAnsi="Arial" w:cs="Arial" w:hint="eastAsia"/>
          <w:b/>
          <w:bCs/>
          <w:kern w:val="0"/>
          <w:szCs w:val="21"/>
        </w:rPr>
        <w:t>为销售平台</w:t>
      </w:r>
      <w:r w:rsidR="00A80836" w:rsidRPr="00FD5083">
        <w:rPr>
          <w:rFonts w:ascii="Arial" w:hAnsi="Arial" w:cs="Arial"/>
          <w:b/>
          <w:bCs/>
          <w:kern w:val="0"/>
          <w:szCs w:val="21"/>
        </w:rPr>
        <w:t>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F855CA" w:rsidRPr="002876CD">
        <w:rPr>
          <w:rFonts w:ascii="Arial" w:hAnsi="Arial" w:cs="Arial"/>
          <w:color w:val="000000"/>
          <w:kern w:val="0"/>
          <w:szCs w:val="21"/>
        </w:rPr>
        <w:t>招商银行股份有限公司（以下简称</w:t>
      </w:r>
      <w:r w:rsidR="00F855CA" w:rsidRPr="002876CD">
        <w:rPr>
          <w:rFonts w:ascii="Arial" w:hAnsi="Arial" w:cs="Arial" w:hint="eastAsia"/>
          <w:color w:val="000000"/>
          <w:kern w:val="0"/>
          <w:szCs w:val="21"/>
        </w:rPr>
        <w:t>“</w:t>
      </w:r>
      <w:r w:rsidR="00F855CA" w:rsidRPr="002876CD">
        <w:rPr>
          <w:rFonts w:ascii="Arial" w:hAnsi="Arial" w:cs="Arial"/>
          <w:color w:val="000000"/>
          <w:kern w:val="0"/>
          <w:szCs w:val="21"/>
        </w:rPr>
        <w:t>招商银行</w:t>
      </w:r>
      <w:r w:rsidR="00F855CA" w:rsidRPr="002876CD">
        <w:rPr>
          <w:rFonts w:ascii="Arial" w:hAnsi="Arial" w:cs="Arial" w:hint="eastAsia"/>
          <w:color w:val="000000"/>
          <w:kern w:val="0"/>
          <w:szCs w:val="21"/>
        </w:rPr>
        <w:t>”</w:t>
      </w:r>
      <w:r w:rsidR="00F855CA" w:rsidRPr="002876CD">
        <w:rPr>
          <w:rFonts w:ascii="Arial" w:hAnsi="Arial" w:cs="Arial"/>
          <w:color w:val="000000"/>
          <w:kern w:val="0"/>
          <w:szCs w:val="21"/>
        </w:rPr>
        <w:t>）签署的招赢通第三方产品合作协议</w:t>
      </w:r>
      <w:r w:rsidRPr="000147DB">
        <w:rPr>
          <w:rFonts w:ascii="Arial" w:hAnsi="Arial" w:cs="Arial" w:hint="eastAsia"/>
          <w:szCs w:val="21"/>
        </w:rPr>
        <w:t>，自</w:t>
      </w:r>
      <w:r w:rsidR="00032518" w:rsidRPr="000147DB">
        <w:rPr>
          <w:rFonts w:ascii="Arial" w:hAnsi="Arial" w:cs="Arial"/>
          <w:szCs w:val="21"/>
        </w:rPr>
        <w:t>20</w:t>
      </w:r>
      <w:r w:rsidR="004C1509">
        <w:rPr>
          <w:rFonts w:ascii="Arial" w:hAnsi="Arial" w:cs="Arial" w:hint="eastAsia"/>
          <w:szCs w:val="21"/>
        </w:rPr>
        <w:t>24</w:t>
      </w:r>
      <w:r w:rsidR="00032518" w:rsidRPr="000147DB">
        <w:rPr>
          <w:rFonts w:ascii="Arial" w:hAnsi="Arial" w:cs="Arial" w:hint="eastAsia"/>
          <w:szCs w:val="21"/>
        </w:rPr>
        <w:t>年</w:t>
      </w:r>
      <w:r w:rsidR="004C1509">
        <w:rPr>
          <w:rFonts w:ascii="Arial" w:hAnsi="Arial" w:cs="Arial" w:hint="eastAsia"/>
          <w:szCs w:val="21"/>
        </w:rPr>
        <w:t>4</w:t>
      </w:r>
      <w:r w:rsidR="00032518" w:rsidRPr="000147DB">
        <w:rPr>
          <w:rFonts w:ascii="Arial" w:hAnsi="Arial" w:cs="Arial" w:hint="eastAsia"/>
          <w:szCs w:val="21"/>
        </w:rPr>
        <w:t>月</w:t>
      </w:r>
      <w:r w:rsidR="004C1509">
        <w:rPr>
          <w:rFonts w:ascii="Arial" w:hAnsi="Arial" w:cs="Arial" w:hint="eastAsia"/>
          <w:szCs w:val="21"/>
        </w:rPr>
        <w:t>25</w:t>
      </w:r>
      <w:r w:rsidRPr="000147DB">
        <w:rPr>
          <w:rFonts w:ascii="Arial" w:hAnsi="Arial" w:cs="Arial" w:hint="eastAsia"/>
          <w:szCs w:val="21"/>
        </w:rPr>
        <w:t>日起新增委托</w:t>
      </w:r>
      <w:r w:rsidR="00F855CA" w:rsidRPr="002876CD">
        <w:rPr>
          <w:rFonts w:ascii="Arial" w:hAnsi="Arial" w:cs="Arial"/>
          <w:color w:val="000000"/>
          <w:kern w:val="0"/>
          <w:szCs w:val="21"/>
        </w:rPr>
        <w:t>招商银行旗下招赢通平台（以下简称</w:t>
      </w:r>
      <w:r w:rsidR="00F855CA" w:rsidRPr="002876CD">
        <w:rPr>
          <w:rFonts w:ascii="Arial" w:hAnsi="Arial" w:cs="Arial" w:hint="eastAsia"/>
          <w:color w:val="000000"/>
          <w:kern w:val="0"/>
          <w:szCs w:val="21"/>
        </w:rPr>
        <w:t>“</w:t>
      </w:r>
      <w:r w:rsidR="00F855CA" w:rsidRPr="002876CD">
        <w:rPr>
          <w:rFonts w:ascii="Arial" w:hAnsi="Arial" w:cs="Arial"/>
          <w:color w:val="000000"/>
          <w:kern w:val="0"/>
          <w:szCs w:val="21"/>
        </w:rPr>
        <w:t>招商银行招赢通</w:t>
      </w:r>
      <w:r w:rsidR="00F855CA" w:rsidRPr="002876CD">
        <w:rPr>
          <w:rFonts w:ascii="Arial" w:hAnsi="Arial" w:cs="Arial" w:hint="eastAsia"/>
          <w:color w:val="000000"/>
          <w:kern w:val="0"/>
          <w:szCs w:val="21"/>
        </w:rPr>
        <w:t>”</w:t>
      </w:r>
      <w:r w:rsidR="00F855CA" w:rsidRPr="002876CD">
        <w:rPr>
          <w:rFonts w:ascii="Arial" w:hAnsi="Arial" w:cs="Arial"/>
          <w:color w:val="000000"/>
          <w:kern w:val="0"/>
          <w:szCs w:val="21"/>
        </w:rPr>
        <w:t>）</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F855CA" w:rsidRPr="002876CD">
        <w:rPr>
          <w:rFonts w:ascii="Arial" w:hAnsi="Arial" w:cs="Arial"/>
          <w:color w:val="000000"/>
          <w:kern w:val="0"/>
          <w:szCs w:val="21"/>
        </w:rPr>
        <w:t>招商银行招赢通</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268"/>
        <w:gridCol w:w="1134"/>
        <w:gridCol w:w="1276"/>
        <w:gridCol w:w="2268"/>
      </w:tblGrid>
      <w:tr w:rsidR="002B7241" w:rsidRPr="00622415" w:rsidTr="007B63BD">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2268"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144AA1" w:rsidRPr="00622415" w:rsidTr="00D87CD1">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144AA1" w:rsidRPr="00500F24" w:rsidRDefault="00144AA1" w:rsidP="00144AA1">
            <w:pPr>
              <w:widowControl/>
              <w:jc w:val="center"/>
              <w:rPr>
                <w:rFonts w:ascii="Arial" w:hAnsi="Arial" w:cs="Arial"/>
                <w:color w:val="000000"/>
                <w:szCs w:val="21"/>
              </w:rPr>
            </w:pPr>
            <w:r>
              <w:rPr>
                <w:rFonts w:ascii="Arial" w:eastAsia="等线" w:hAnsi="Arial" w:cs="Arial"/>
                <w:color w:val="000000"/>
                <w:sz w:val="22"/>
              </w:rPr>
              <w:t>003504</w:t>
            </w:r>
          </w:p>
        </w:tc>
        <w:tc>
          <w:tcPr>
            <w:tcW w:w="2268" w:type="dxa"/>
            <w:tcBorders>
              <w:top w:val="nil"/>
              <w:left w:val="nil"/>
              <w:bottom w:val="single" w:sz="4" w:space="0" w:color="auto"/>
              <w:right w:val="single" w:sz="4" w:space="0" w:color="auto"/>
            </w:tcBorders>
            <w:shd w:val="clear" w:color="000000" w:fill="FFFFFF"/>
            <w:noWrap/>
            <w:vAlign w:val="center"/>
          </w:tcPr>
          <w:p w:rsidR="00144AA1" w:rsidRPr="00500F24" w:rsidRDefault="00144AA1" w:rsidP="00144AA1">
            <w:pPr>
              <w:widowControl/>
              <w:rPr>
                <w:rFonts w:ascii="Arial" w:hAnsi="Arial" w:cs="Arial"/>
                <w:color w:val="000000"/>
                <w:szCs w:val="21"/>
              </w:rPr>
            </w:pPr>
            <w:r>
              <w:rPr>
                <w:rFonts w:hint="eastAsia"/>
                <w:color w:val="000000"/>
                <w:sz w:val="22"/>
              </w:rPr>
              <w:t>景顺长城景颐丰利债券型证券投资基金</w:t>
            </w:r>
            <w:r>
              <w:rPr>
                <w:rFonts w:ascii="Arial" w:hAnsi="Arial" w:cs="Arial"/>
                <w:color w:val="000000"/>
                <w:sz w:val="22"/>
              </w:rPr>
              <w:t>A</w:t>
            </w:r>
          </w:p>
        </w:tc>
        <w:tc>
          <w:tcPr>
            <w:tcW w:w="1134" w:type="dxa"/>
            <w:tcBorders>
              <w:top w:val="nil"/>
              <w:left w:val="nil"/>
              <w:bottom w:val="single" w:sz="4" w:space="0" w:color="auto"/>
              <w:right w:val="single" w:sz="4" w:space="0" w:color="auto"/>
            </w:tcBorders>
            <w:shd w:val="clear" w:color="000000" w:fill="FFFFFF"/>
            <w:vAlign w:val="center"/>
          </w:tcPr>
          <w:p w:rsidR="00144AA1" w:rsidRPr="008B4149"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nil"/>
              <w:left w:val="nil"/>
              <w:bottom w:val="single" w:sz="4" w:space="0" w:color="auto"/>
              <w:right w:val="single" w:sz="4" w:space="0" w:color="auto"/>
            </w:tcBorders>
            <w:shd w:val="clear" w:color="000000" w:fill="FFFFFF"/>
            <w:vAlign w:val="center"/>
          </w:tcPr>
          <w:p w:rsidR="00144AA1" w:rsidRPr="008B4149" w:rsidRDefault="00144AA1" w:rsidP="00144AA1">
            <w:pPr>
              <w:widowControl/>
              <w:jc w:val="center"/>
              <w:rPr>
                <w:rFonts w:ascii="Arial" w:hAnsi="Arial" w:cs="Arial"/>
                <w:color w:val="000000"/>
                <w:szCs w:val="21"/>
              </w:rPr>
            </w:pPr>
            <w:r>
              <w:rPr>
                <w:rFonts w:hint="eastAsia"/>
                <w:color w:val="000000"/>
                <w:sz w:val="22"/>
              </w:rPr>
              <w:t>开通</w:t>
            </w:r>
          </w:p>
        </w:tc>
        <w:tc>
          <w:tcPr>
            <w:tcW w:w="2268" w:type="dxa"/>
            <w:tcBorders>
              <w:top w:val="nil"/>
              <w:left w:val="nil"/>
              <w:bottom w:val="single" w:sz="4" w:space="0" w:color="auto"/>
              <w:right w:val="single" w:sz="4" w:space="0" w:color="auto"/>
            </w:tcBorders>
            <w:shd w:val="clear" w:color="000000" w:fill="FFFFFF"/>
            <w:vAlign w:val="center"/>
          </w:tcPr>
          <w:p w:rsidR="00144AA1" w:rsidRPr="00F451DB"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144AA1" w:rsidRPr="00C15AAA" w:rsidRDefault="00144AA1" w:rsidP="00144AA1">
            <w:pPr>
              <w:widowControl/>
              <w:jc w:val="center"/>
              <w:rPr>
                <w:rFonts w:ascii="Arial" w:hAnsi="Arial" w:cs="Arial"/>
                <w:szCs w:val="21"/>
              </w:rPr>
            </w:pPr>
            <w:r>
              <w:rPr>
                <w:rFonts w:ascii="Arial" w:eastAsia="等线" w:hAnsi="Arial" w:cs="Arial"/>
                <w:color w:val="000000"/>
                <w:sz w:val="22"/>
              </w:rPr>
              <w:t>003505</w:t>
            </w:r>
          </w:p>
        </w:tc>
        <w:tc>
          <w:tcPr>
            <w:tcW w:w="2268" w:type="dxa"/>
            <w:tcBorders>
              <w:top w:val="nil"/>
              <w:left w:val="nil"/>
              <w:bottom w:val="single" w:sz="4" w:space="0" w:color="auto"/>
              <w:right w:val="single" w:sz="4" w:space="0" w:color="auto"/>
            </w:tcBorders>
            <w:shd w:val="clear" w:color="000000" w:fill="FFFFFF"/>
            <w:noWrap/>
            <w:vAlign w:val="center"/>
          </w:tcPr>
          <w:p w:rsidR="00144AA1" w:rsidRPr="00C15AAA" w:rsidRDefault="00144AA1" w:rsidP="00144AA1">
            <w:pPr>
              <w:widowControl/>
              <w:rPr>
                <w:rFonts w:ascii="Arial" w:hAnsi="Arial" w:cs="Arial"/>
                <w:szCs w:val="21"/>
              </w:rPr>
            </w:pPr>
            <w:r>
              <w:rPr>
                <w:rFonts w:hint="eastAsia"/>
                <w:color w:val="000000"/>
                <w:sz w:val="22"/>
              </w:rPr>
              <w:t>景顺长城景颐丰利债券型证券投资基金</w:t>
            </w:r>
            <w:r>
              <w:rPr>
                <w:rFonts w:ascii="Arial" w:hAnsi="Arial" w:cs="Arial"/>
                <w:color w:val="000000"/>
                <w:sz w:val="22"/>
              </w:rPr>
              <w:t>C</w:t>
            </w:r>
          </w:p>
        </w:tc>
        <w:tc>
          <w:tcPr>
            <w:tcW w:w="1134" w:type="dxa"/>
            <w:tcBorders>
              <w:top w:val="nil"/>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不开通</w:t>
            </w:r>
          </w:p>
        </w:tc>
        <w:tc>
          <w:tcPr>
            <w:tcW w:w="1276" w:type="dxa"/>
            <w:tcBorders>
              <w:top w:val="nil"/>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nil"/>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不适用</w:t>
            </w:r>
          </w:p>
        </w:tc>
      </w:tr>
      <w:tr w:rsidR="00144AA1" w:rsidRPr="00622415" w:rsidTr="00D87CD1">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144AA1" w:rsidRPr="00AE2E08" w:rsidRDefault="00144AA1" w:rsidP="00144AA1">
            <w:pPr>
              <w:widowControl/>
              <w:jc w:val="center"/>
              <w:rPr>
                <w:rFonts w:ascii="Arial" w:hAnsi="Arial" w:cs="Arial"/>
                <w:color w:val="000000"/>
                <w:kern w:val="0"/>
                <w:szCs w:val="21"/>
              </w:rPr>
            </w:pPr>
            <w:r>
              <w:rPr>
                <w:rFonts w:ascii="Arial" w:eastAsia="等线" w:hAnsi="Arial" w:cs="Arial"/>
                <w:color w:val="000000"/>
                <w:sz w:val="22"/>
              </w:rPr>
              <w:t>010706</w:t>
            </w:r>
          </w:p>
        </w:tc>
        <w:tc>
          <w:tcPr>
            <w:tcW w:w="2268" w:type="dxa"/>
            <w:tcBorders>
              <w:top w:val="nil"/>
              <w:left w:val="nil"/>
              <w:bottom w:val="single" w:sz="4" w:space="0" w:color="auto"/>
              <w:right w:val="single" w:sz="4" w:space="0" w:color="auto"/>
            </w:tcBorders>
            <w:shd w:val="clear" w:color="000000" w:fill="FFFFFF"/>
            <w:noWrap/>
            <w:vAlign w:val="center"/>
          </w:tcPr>
          <w:p w:rsidR="00144AA1" w:rsidRPr="00AE2E08" w:rsidRDefault="00144AA1" w:rsidP="00144AA1">
            <w:pPr>
              <w:widowControl/>
              <w:rPr>
                <w:rFonts w:ascii="Arial" w:hAnsi="Arial" w:cs="Arial"/>
                <w:color w:val="000000"/>
                <w:kern w:val="0"/>
                <w:szCs w:val="21"/>
              </w:rPr>
            </w:pPr>
            <w:r>
              <w:rPr>
                <w:rFonts w:hint="eastAsia"/>
                <w:color w:val="000000"/>
                <w:sz w:val="22"/>
              </w:rPr>
              <w:t>景顺长城景骊成长混合型证券投资基金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1276" w:type="dxa"/>
            <w:tcBorders>
              <w:top w:val="nil"/>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nil"/>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Pr="009D4784" w:rsidRDefault="00144AA1" w:rsidP="00144AA1">
            <w:pPr>
              <w:widowControl/>
              <w:jc w:val="center"/>
              <w:rPr>
                <w:rFonts w:ascii="Arial" w:hAnsi="Arial" w:cs="Arial"/>
                <w:color w:val="000000"/>
                <w:szCs w:val="21"/>
              </w:rPr>
            </w:pPr>
            <w:r>
              <w:rPr>
                <w:rFonts w:ascii="Arial" w:eastAsia="等线" w:hAnsi="Arial" w:cs="Arial"/>
                <w:color w:val="000000"/>
                <w:sz w:val="22"/>
              </w:rPr>
              <w:t>013904</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Pr="009D4784" w:rsidRDefault="00144AA1" w:rsidP="00144AA1">
            <w:pPr>
              <w:widowControl/>
              <w:rPr>
                <w:rFonts w:ascii="Arial" w:hAnsi="Arial" w:cs="Arial"/>
                <w:color w:val="000000"/>
                <w:szCs w:val="21"/>
              </w:rPr>
            </w:pPr>
            <w:r>
              <w:rPr>
                <w:rFonts w:hint="eastAsia"/>
                <w:color w:val="000000"/>
                <w:sz w:val="22"/>
              </w:rPr>
              <w:t>景顺长城养老目标日期</w:t>
            </w:r>
            <w:r>
              <w:rPr>
                <w:rFonts w:ascii="Arial" w:hAnsi="Arial" w:cs="Arial"/>
                <w:color w:val="000000"/>
                <w:sz w:val="22"/>
              </w:rPr>
              <w:t>2035</w:t>
            </w:r>
            <w:r>
              <w:rPr>
                <w:rFonts w:hint="eastAsia"/>
                <w:color w:val="000000"/>
                <w:sz w:val="22"/>
              </w:rPr>
              <w:t>三年持有期混合型发起式基金中基金（</w:t>
            </w:r>
            <w:r>
              <w:rPr>
                <w:rFonts w:ascii="Arial" w:hAnsi="Arial" w:cs="Arial"/>
                <w:color w:val="000000"/>
                <w:sz w:val="22"/>
              </w:rPr>
              <w:t>FOF</w:t>
            </w:r>
            <w:r>
              <w:rPr>
                <w:rFonts w:hint="eastAsia"/>
                <w:color w:val="000000"/>
                <w:sz w:val="22"/>
              </w:rPr>
              <w:t>）</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ascii="Arial" w:eastAsia="等线" w:hAnsi="Arial" w:cs="Arial"/>
                <w:color w:val="000000"/>
                <w:sz w:val="22"/>
              </w:rPr>
              <w:t>FOF</w:t>
            </w:r>
            <w:r>
              <w:rPr>
                <w:rFonts w:cs="Arial" w:hint="eastAsia"/>
                <w:color w:val="000000"/>
                <w:sz w:val="22"/>
              </w:rPr>
              <w:t>互转</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014374</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景顺长城隽丰平衡养老目标三年持有期混合型发起式基金中基金（</w:t>
            </w:r>
            <w:r>
              <w:rPr>
                <w:rFonts w:ascii="Arial" w:hAnsi="Arial" w:cs="Arial"/>
                <w:color w:val="000000"/>
                <w:sz w:val="22"/>
              </w:rPr>
              <w:t>FOF</w:t>
            </w:r>
            <w:r>
              <w:rPr>
                <w:rFonts w:hint="eastAsia"/>
                <w:color w:val="000000"/>
                <w:sz w:val="22"/>
              </w:rPr>
              <w:t>）</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ascii="Arial" w:eastAsia="等线" w:hAnsi="Arial" w:cs="Arial"/>
                <w:color w:val="000000"/>
                <w:sz w:val="22"/>
              </w:rPr>
              <w:t>FOF</w:t>
            </w:r>
            <w:r>
              <w:rPr>
                <w:rFonts w:cs="Arial" w:hint="eastAsia"/>
                <w:color w:val="000000"/>
                <w:sz w:val="22"/>
              </w:rPr>
              <w:t>互转</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014790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景顺长城产业臻选一年持有期混合型证券投资基金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EC558F" w:rsidP="00144AA1">
            <w:pPr>
              <w:widowControl/>
              <w:jc w:val="center"/>
              <w:rPr>
                <w:rFonts w:ascii="Arial" w:hAnsi="Arial" w:cs="Arial"/>
                <w:szCs w:val="21"/>
              </w:rPr>
            </w:pPr>
            <w:r>
              <w:rPr>
                <w:rFonts w:hint="eastAsia"/>
                <w:color w:val="000000"/>
                <w:sz w:val="22"/>
              </w:rPr>
              <w:t>仅转入</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014791</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景顺长城产业臻选一年持有期混合型证券投资基金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EC558F" w:rsidP="00144AA1">
            <w:pPr>
              <w:widowControl/>
              <w:jc w:val="center"/>
              <w:rPr>
                <w:rFonts w:ascii="Arial" w:hAnsi="Arial" w:cs="Arial"/>
                <w:szCs w:val="21"/>
              </w:rPr>
            </w:pPr>
            <w:r>
              <w:rPr>
                <w:rFonts w:hint="eastAsia"/>
                <w:color w:val="000000"/>
                <w:sz w:val="22"/>
              </w:rPr>
              <w:t>仅转入</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015162</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景顺长城鑫景产业精选一年持有期混合型证券投资基金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015163</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景顺长城鑫景产业精选一年持有期混合型证券投资基金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lastRenderedPageBreak/>
              <w:t>015317</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景顺长城隽发平衡养老目标三年持有期混合型发起式基金中基金（</w:t>
            </w:r>
            <w:r>
              <w:rPr>
                <w:rFonts w:ascii="Arial" w:hAnsi="Arial" w:cs="Arial"/>
                <w:color w:val="000000"/>
                <w:sz w:val="22"/>
              </w:rPr>
              <w:t>FOF</w:t>
            </w:r>
            <w:r>
              <w:rPr>
                <w:rFonts w:hint="eastAsia"/>
                <w:color w:val="000000"/>
                <w:sz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ascii="Arial" w:eastAsia="等线" w:hAnsi="Arial" w:cs="Arial"/>
                <w:color w:val="000000"/>
                <w:sz w:val="22"/>
              </w:rPr>
              <w:t>FOF</w:t>
            </w:r>
            <w:r>
              <w:rPr>
                <w:rFonts w:cs="Arial" w:hint="eastAsia"/>
                <w:color w:val="000000"/>
                <w:sz w:val="22"/>
              </w:rPr>
              <w:t>互转</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015408</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景顺长城成长趋势股票型证券投资基金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015409</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景顺长城成长趋势股票型证券投资基金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016473</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景顺长城景丰货币市场基金</w:t>
            </w:r>
            <w:r>
              <w:rPr>
                <w:rFonts w:ascii="Arial" w:hAnsi="Arial" w:cs="Arial"/>
                <w:color w:val="000000"/>
                <w:sz w:val="22"/>
              </w:rPr>
              <w:t>E</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017639</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景顺长城景气优选一年持有期混合型证券投资基金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017640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景顺长城景气优选一年持有期混合型证券投资基金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018214</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景顺长城景颐辰利债券型证券投资基金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018215</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景顺长城景颐辰利债券型证券投资基金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018504</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景顺长城周期优选混合型证券投资基金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018505</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景顺长城周期优选混合型证券投资基金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018553</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景顺长城中小盘混合型证券投资基金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018736</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景顺长城景颐裕利债券型证券投资基金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018737</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景顺长城景颐裕利债券型证券投资基金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019013</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景顺长城国证</w:t>
            </w:r>
            <w:r>
              <w:rPr>
                <w:rFonts w:ascii="Arial" w:hAnsi="Arial" w:cs="Arial"/>
                <w:color w:val="000000"/>
                <w:sz w:val="22"/>
              </w:rPr>
              <w:t>2000</w:t>
            </w:r>
            <w:r>
              <w:rPr>
                <w:rFonts w:hint="eastAsia"/>
                <w:color w:val="000000"/>
                <w:sz w:val="22"/>
              </w:rPr>
              <w:t>指数增强型证券投资基金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019014</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景顺长城国证</w:t>
            </w:r>
            <w:r>
              <w:rPr>
                <w:rFonts w:ascii="Arial" w:hAnsi="Arial" w:cs="Arial"/>
                <w:color w:val="000000"/>
                <w:sz w:val="22"/>
              </w:rPr>
              <w:t>2000</w:t>
            </w:r>
            <w:r>
              <w:rPr>
                <w:rFonts w:hint="eastAsia"/>
                <w:color w:val="000000"/>
                <w:sz w:val="22"/>
              </w:rPr>
              <w:t>指数增强型证券投资基金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019102</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景顺长城恒生消费交易型开放式指数证券投资基金发起式联接基金（</w:t>
            </w:r>
            <w:r>
              <w:rPr>
                <w:rFonts w:ascii="Arial" w:hAnsi="Arial" w:cs="Arial"/>
                <w:color w:val="000000"/>
                <w:sz w:val="22"/>
              </w:rPr>
              <w:t>QDII</w:t>
            </w:r>
            <w:r>
              <w:rPr>
                <w:rFonts w:hint="eastAsia"/>
                <w:color w:val="000000"/>
                <w:sz w:val="22"/>
              </w:rPr>
              <w:t>）</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019103</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景顺长城恒生消费交易型开放式指数证券投资基金发起式联接基金（</w:t>
            </w:r>
            <w:r>
              <w:rPr>
                <w:rFonts w:ascii="Arial" w:hAnsi="Arial" w:cs="Arial"/>
                <w:color w:val="000000"/>
                <w:sz w:val="22"/>
              </w:rPr>
              <w:t>QDII</w:t>
            </w:r>
            <w:r>
              <w:rPr>
                <w:rFonts w:hint="eastAsia"/>
                <w:color w:val="000000"/>
                <w:sz w:val="22"/>
              </w:rPr>
              <w:t>）</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lastRenderedPageBreak/>
              <w:t>019118</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景顺长城纳斯达克科技市值加权交易型开放式指数证券投资基金发起式联接基金（</w:t>
            </w:r>
            <w:r>
              <w:rPr>
                <w:rFonts w:ascii="Arial" w:hAnsi="Arial" w:cs="Arial"/>
                <w:color w:val="000000"/>
                <w:sz w:val="22"/>
              </w:rPr>
              <w:t>QDII</w:t>
            </w:r>
            <w:r>
              <w:rPr>
                <w:rFonts w:hint="eastAsia"/>
                <w:color w:val="000000"/>
                <w:sz w:val="22"/>
              </w:rPr>
              <w:t>）</w:t>
            </w:r>
            <w:r>
              <w:rPr>
                <w:rFonts w:ascii="Arial" w:hAnsi="Arial" w:cs="Arial"/>
                <w:color w:val="000000"/>
                <w:sz w:val="22"/>
              </w:rPr>
              <w:t>E</w:t>
            </w:r>
            <w:r>
              <w:rPr>
                <w:rFonts w:hint="eastAsia"/>
                <w:color w:val="000000"/>
                <w:sz w:val="22"/>
              </w:rPr>
              <w:t>人民币</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Pr="00144AA1" w:rsidRDefault="00144AA1" w:rsidP="00144AA1">
            <w:pPr>
              <w:widowControl/>
              <w:jc w:val="center"/>
              <w:rPr>
                <w:rFonts w:ascii="Arial" w:hAnsi="Arial" w:cs="Arial"/>
                <w:sz w:val="20"/>
                <w:szCs w:val="20"/>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144AA1" w:rsidRDefault="00144AA1" w:rsidP="00144AA1">
            <w:pPr>
              <w:widowControl/>
              <w:jc w:val="center"/>
              <w:rPr>
                <w:rFonts w:ascii="Arial" w:hAnsi="Arial" w:cs="Arial"/>
                <w:sz w:val="20"/>
                <w:szCs w:val="20"/>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Pr="00144AA1" w:rsidRDefault="00144AA1" w:rsidP="00144AA1">
            <w:pPr>
              <w:widowControl/>
              <w:jc w:val="center"/>
              <w:rPr>
                <w:rFonts w:ascii="Arial" w:hAnsi="Arial" w:cs="Arial"/>
                <w:sz w:val="20"/>
                <w:szCs w:val="20"/>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019215</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景顺长城量化平衡灵活配置混合型证券投资基金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019251</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w:t>
            </w:r>
            <w:r>
              <w:rPr>
                <w:rFonts w:ascii="Arial" w:hAnsi="Arial" w:cs="Arial"/>
                <w:color w:val="000000"/>
                <w:sz w:val="22"/>
              </w:rPr>
              <w:t>MSCI</w:t>
            </w:r>
            <w:r>
              <w:rPr>
                <w:rFonts w:hint="eastAsia"/>
                <w:color w:val="000000"/>
                <w:sz w:val="22"/>
              </w:rPr>
              <w:t>中国</w:t>
            </w:r>
            <w:r>
              <w:rPr>
                <w:rFonts w:ascii="Arial" w:hAnsi="Arial" w:cs="Arial"/>
                <w:color w:val="000000"/>
                <w:sz w:val="22"/>
              </w:rPr>
              <w:t>A</w:t>
            </w:r>
            <w:r>
              <w:rPr>
                <w:rFonts w:hint="eastAsia"/>
                <w:color w:val="000000"/>
                <w:sz w:val="22"/>
              </w:rPr>
              <w:t>股国际通指数增强型证券投资基金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019380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景顺长城景盛双益债券型证券投资基金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019381</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景顺长城景盛双益债券型证券投资基金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019489</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景顺长城景泰通利纯债债券型证券投资基金</w:t>
            </w:r>
            <w:r>
              <w:rPr>
                <w:rFonts w:ascii="Arial" w:hAnsi="Arial" w:cs="Arial"/>
                <w:color w:val="000000"/>
                <w:sz w:val="22"/>
              </w:rPr>
              <w:t>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019490</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景顺长城景泰通利纯债债券型证券投资基金</w:t>
            </w:r>
            <w:r>
              <w:rPr>
                <w:rFonts w:ascii="Arial" w:hAnsi="Arial" w:cs="Arial"/>
                <w:color w:val="000000"/>
                <w:sz w:val="22"/>
              </w:rPr>
              <w:t>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019521</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景顺长城价值发现混合型证券投资基金</w:t>
            </w:r>
            <w:r>
              <w:rPr>
                <w:rFonts w:ascii="Arial" w:hAnsi="Arial" w:cs="Arial"/>
                <w:color w:val="000000"/>
                <w:sz w:val="22"/>
              </w:rPr>
              <w:t>A1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019522</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景顺长城价值发现混合型证券投资基金</w:t>
            </w:r>
            <w:r>
              <w:rPr>
                <w:rFonts w:ascii="Arial" w:hAnsi="Arial" w:cs="Arial"/>
                <w:color w:val="000000"/>
                <w:sz w:val="22"/>
              </w:rPr>
              <w:t>A2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144AA1" w:rsidRDefault="00144AA1" w:rsidP="00144AA1">
            <w:pPr>
              <w:widowControl/>
              <w:rPr>
                <w:rFonts w:ascii="Arial" w:hAnsi="Arial" w:cs="Arial"/>
                <w:color w:val="000000"/>
                <w:szCs w:val="21"/>
              </w:rPr>
            </w:pPr>
            <w:r>
              <w:rPr>
                <w:rFonts w:hint="eastAsia"/>
                <w:color w:val="000000"/>
                <w:sz w:val="22"/>
              </w:rPr>
              <w:t>仅转出</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019523</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景顺长城价值发现混合型证券投资基金</w:t>
            </w:r>
            <w:r>
              <w:rPr>
                <w:rFonts w:ascii="Arial" w:hAnsi="Arial" w:cs="Arial"/>
                <w:color w:val="000000"/>
                <w:sz w:val="22"/>
              </w:rPr>
              <w:t>A3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仅转出</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是</w:t>
            </w:r>
          </w:p>
        </w:tc>
      </w:tr>
      <w:tr w:rsidR="00144AA1" w:rsidRPr="00622415" w:rsidTr="00D87CD1">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AA1" w:rsidRDefault="00144AA1" w:rsidP="00144AA1">
            <w:pPr>
              <w:widowControl/>
              <w:jc w:val="center"/>
              <w:rPr>
                <w:rFonts w:ascii="Arial" w:hAnsi="Arial" w:cs="Arial"/>
                <w:color w:val="000000"/>
                <w:sz w:val="22"/>
              </w:rPr>
            </w:pPr>
            <w:r>
              <w:rPr>
                <w:rFonts w:ascii="Arial" w:eastAsia="等线" w:hAnsi="Arial" w:cs="Arial"/>
                <w:color w:val="000000"/>
                <w:sz w:val="22"/>
              </w:rPr>
              <w:t>020656</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144AA1" w:rsidRDefault="00144AA1" w:rsidP="00144AA1">
            <w:pPr>
              <w:widowControl/>
              <w:rPr>
                <w:rFonts w:ascii="Arial" w:hAnsi="Arial" w:cs="Arial"/>
                <w:color w:val="000000"/>
                <w:sz w:val="22"/>
              </w:rPr>
            </w:pPr>
            <w:r>
              <w:rPr>
                <w:rFonts w:hint="eastAsia"/>
                <w:color w:val="000000"/>
                <w:sz w:val="22"/>
              </w:rPr>
              <w:t>景顺长城中短债债券型证券投资基金</w:t>
            </w:r>
            <w:r>
              <w:rPr>
                <w:rFonts w:ascii="Arial" w:hAnsi="Arial" w:cs="Arial"/>
                <w:color w:val="000000"/>
                <w:sz w:val="22"/>
              </w:rPr>
              <w:t>F</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开通</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44AA1" w:rsidRPr="00C15AAA" w:rsidRDefault="00144AA1" w:rsidP="00144AA1">
            <w:pPr>
              <w:widowControl/>
              <w:jc w:val="center"/>
              <w:rPr>
                <w:rFonts w:ascii="Arial" w:hAnsi="Arial" w:cs="Arial"/>
                <w:szCs w:val="21"/>
              </w:rPr>
            </w:pPr>
            <w:r>
              <w:rPr>
                <w:rFonts w:hint="eastAsia"/>
                <w:color w:val="000000"/>
                <w:sz w:val="22"/>
              </w:rPr>
              <w:t>开通</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144AA1" w:rsidRDefault="00144AA1" w:rsidP="00144AA1">
            <w:pPr>
              <w:widowControl/>
              <w:jc w:val="center"/>
              <w:rPr>
                <w:rFonts w:ascii="Arial" w:hAnsi="Arial" w:cs="Arial"/>
                <w:color w:val="000000"/>
                <w:szCs w:val="21"/>
              </w:rPr>
            </w:pPr>
            <w:r>
              <w:rPr>
                <w:rFonts w:hint="eastAsia"/>
                <w:color w:val="000000"/>
                <w:sz w:val="22"/>
              </w:rPr>
              <w:t>不适用</w:t>
            </w:r>
          </w:p>
        </w:tc>
      </w:tr>
    </w:tbl>
    <w:p w:rsidR="008D02B7" w:rsidRDefault="004F0132" w:rsidP="008D02B7">
      <w:pPr>
        <w:widowControl/>
        <w:spacing w:line="360" w:lineRule="auto"/>
        <w:jc w:val="left"/>
        <w:rPr>
          <w:rFonts w:ascii="Arial" w:hAnsi="Arial" w:cs="Arial"/>
          <w:color w:val="000000"/>
          <w:kern w:val="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7B63BD" w:rsidRPr="002876CD">
        <w:rPr>
          <w:rFonts w:ascii="Arial" w:hAnsi="Arial" w:cs="Arial"/>
          <w:color w:val="000000"/>
          <w:kern w:val="0"/>
          <w:szCs w:val="21"/>
        </w:rPr>
        <w:t>招商银行招赢通</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7B63BD" w:rsidRPr="007B63BD">
        <w:rPr>
          <w:rFonts w:ascii="Arial" w:hAnsi="Arial" w:cs="Arial" w:hint="eastAsia"/>
          <w:kern w:val="0"/>
          <w:szCs w:val="21"/>
        </w:rPr>
        <w:t>招商银行股份有限公司招赢通</w:t>
      </w:r>
    </w:p>
    <w:p w:rsidR="007B63BD" w:rsidRPr="007B63BD" w:rsidRDefault="007B63BD" w:rsidP="007B63BD">
      <w:pPr>
        <w:widowControl/>
        <w:spacing w:line="360" w:lineRule="auto"/>
        <w:ind w:firstLineChars="200" w:firstLine="420"/>
        <w:jc w:val="left"/>
        <w:rPr>
          <w:rFonts w:ascii="Arial" w:hAnsi="Arial" w:cs="Arial"/>
          <w:kern w:val="0"/>
          <w:szCs w:val="21"/>
        </w:rPr>
      </w:pPr>
      <w:r w:rsidRPr="007B63BD">
        <w:rPr>
          <w:rFonts w:ascii="Arial" w:hAnsi="Arial" w:cs="Arial" w:hint="eastAsia"/>
          <w:kern w:val="0"/>
          <w:szCs w:val="21"/>
        </w:rPr>
        <w:t>网址：</w:t>
      </w:r>
      <w:r w:rsidRPr="007B63BD">
        <w:rPr>
          <w:rFonts w:ascii="Arial" w:hAnsi="Arial" w:cs="Arial" w:hint="eastAsia"/>
          <w:kern w:val="0"/>
          <w:szCs w:val="21"/>
        </w:rPr>
        <w:t>fi.cmbchina.com</w:t>
      </w:r>
    </w:p>
    <w:p w:rsidR="008D02B7" w:rsidRDefault="007B63BD" w:rsidP="007B63BD">
      <w:pPr>
        <w:widowControl/>
        <w:spacing w:line="360" w:lineRule="auto"/>
        <w:ind w:firstLineChars="200" w:firstLine="420"/>
        <w:jc w:val="left"/>
        <w:rPr>
          <w:rFonts w:ascii="Arial" w:hAnsi="Arial" w:cs="Arial"/>
          <w:kern w:val="0"/>
          <w:szCs w:val="21"/>
        </w:rPr>
      </w:pPr>
      <w:r w:rsidRPr="007B63BD">
        <w:rPr>
          <w:rFonts w:ascii="Arial" w:hAnsi="Arial" w:cs="Arial" w:hint="eastAsia"/>
          <w:kern w:val="0"/>
          <w:szCs w:val="21"/>
        </w:rPr>
        <w:t>客服电话：</w:t>
      </w:r>
      <w:r w:rsidRPr="007B63BD">
        <w:rPr>
          <w:rFonts w:ascii="Arial" w:hAnsi="Arial" w:cs="Arial" w:hint="eastAsia"/>
          <w:kern w:val="0"/>
          <w:szCs w:val="21"/>
        </w:rPr>
        <w:t>95555</w:t>
      </w:r>
    </w:p>
    <w:p w:rsidR="007B63BD" w:rsidRDefault="007B63BD"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hyperlink r:id="rId7" w:history="1">
        <w:r w:rsidR="008D02B7" w:rsidRPr="006D3FF3">
          <w:rPr>
            <w:rStyle w:val="a8"/>
            <w:rFonts w:ascii="Arial" w:hAnsi="Arial" w:cs="Arial" w:hint="eastAsia"/>
            <w:szCs w:val="21"/>
          </w:rPr>
          <w:t>www.igwfmc.com</w:t>
        </w:r>
      </w:hyperlink>
    </w:p>
    <w:p w:rsidR="008D02B7" w:rsidRPr="00EF4360" w:rsidRDefault="008D02B7" w:rsidP="000147DB">
      <w:pPr>
        <w:widowControl/>
        <w:spacing w:line="360" w:lineRule="auto"/>
        <w:ind w:firstLineChars="200" w:firstLine="420"/>
        <w:jc w:val="left"/>
        <w:rPr>
          <w:rFonts w:ascii="Arial" w:hAnsi="Arial" w:cs="Arial"/>
          <w:szCs w:val="21"/>
        </w:rPr>
      </w:pPr>
    </w:p>
    <w:p w:rsidR="007B63BD" w:rsidRPr="00735537" w:rsidRDefault="00EF4360" w:rsidP="007B63BD">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7B63BD" w:rsidRPr="007B63BD">
        <w:rPr>
          <w:rFonts w:ascii="Arial" w:hAnsi="Arial" w:cs="Arial" w:hint="eastAsia"/>
          <w:kern w:val="0"/>
          <w:szCs w:val="21"/>
        </w:rPr>
        <w:t>招商银行股份有限公司招赢通</w:t>
      </w:r>
    </w:p>
    <w:p w:rsidR="007B63BD" w:rsidRPr="007B63BD" w:rsidRDefault="007B63BD" w:rsidP="007B63BD">
      <w:pPr>
        <w:widowControl/>
        <w:spacing w:line="360" w:lineRule="auto"/>
        <w:ind w:firstLineChars="200" w:firstLine="420"/>
        <w:jc w:val="left"/>
        <w:rPr>
          <w:rFonts w:ascii="Arial" w:hAnsi="Arial" w:cs="Arial"/>
          <w:kern w:val="0"/>
          <w:szCs w:val="21"/>
        </w:rPr>
      </w:pPr>
      <w:r w:rsidRPr="007B63BD">
        <w:rPr>
          <w:rFonts w:ascii="Arial" w:hAnsi="Arial" w:cs="Arial" w:hint="eastAsia"/>
          <w:kern w:val="0"/>
          <w:szCs w:val="21"/>
        </w:rPr>
        <w:t>网址：</w:t>
      </w:r>
      <w:r w:rsidRPr="007B63BD">
        <w:rPr>
          <w:rFonts w:ascii="Arial" w:hAnsi="Arial" w:cs="Arial" w:hint="eastAsia"/>
          <w:kern w:val="0"/>
          <w:szCs w:val="21"/>
        </w:rPr>
        <w:t>fi.cmbchina.com</w:t>
      </w:r>
    </w:p>
    <w:p w:rsidR="007B63BD" w:rsidRDefault="007B63BD" w:rsidP="007B63BD">
      <w:pPr>
        <w:widowControl/>
        <w:spacing w:line="360" w:lineRule="auto"/>
        <w:ind w:firstLineChars="200" w:firstLine="420"/>
        <w:jc w:val="left"/>
        <w:rPr>
          <w:rFonts w:ascii="Arial" w:hAnsi="Arial" w:cs="Arial"/>
          <w:kern w:val="0"/>
          <w:szCs w:val="21"/>
        </w:rPr>
      </w:pPr>
      <w:r w:rsidRPr="007B63BD">
        <w:rPr>
          <w:rFonts w:ascii="Arial" w:hAnsi="Arial" w:cs="Arial" w:hint="eastAsia"/>
          <w:kern w:val="0"/>
          <w:szCs w:val="21"/>
        </w:rPr>
        <w:t>客服电话：</w:t>
      </w:r>
      <w:r w:rsidRPr="007B63BD">
        <w:rPr>
          <w:rFonts w:ascii="Arial" w:hAnsi="Arial" w:cs="Arial" w:hint="eastAsia"/>
          <w:kern w:val="0"/>
          <w:szCs w:val="21"/>
        </w:rPr>
        <w:t>95555</w:t>
      </w:r>
    </w:p>
    <w:p w:rsidR="008D02B7" w:rsidRPr="00B84339" w:rsidRDefault="008D02B7" w:rsidP="008D02B7">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8D02B7" w:rsidRDefault="008D02B7">
      <w:pPr>
        <w:widowControl/>
        <w:spacing w:line="360" w:lineRule="auto"/>
        <w:ind w:firstLineChars="200" w:firstLine="420"/>
        <w:jc w:val="right"/>
        <w:rPr>
          <w:rFonts w:ascii="Arial" w:hAnsi="Arial" w:cs="Arial"/>
          <w:kern w:val="0"/>
          <w:szCs w:val="21"/>
        </w:rPr>
      </w:pPr>
    </w:p>
    <w:p w:rsidR="008D02B7" w:rsidRDefault="008D02B7">
      <w:pPr>
        <w:widowControl/>
        <w:spacing w:line="360" w:lineRule="auto"/>
        <w:ind w:firstLineChars="200" w:firstLine="420"/>
        <w:jc w:val="right"/>
        <w:rPr>
          <w:rFonts w:ascii="Arial" w:hAnsi="Arial" w:cs="Arial"/>
          <w:kern w:val="0"/>
          <w:szCs w:val="21"/>
        </w:rPr>
      </w:pPr>
    </w:p>
    <w:p w:rsidR="008D02B7" w:rsidRDefault="008D02B7">
      <w:pPr>
        <w:widowControl/>
        <w:spacing w:line="360" w:lineRule="auto"/>
        <w:ind w:firstLineChars="200" w:firstLine="420"/>
        <w:jc w:val="righ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773B0">
        <w:rPr>
          <w:rFonts w:ascii="Arial" w:hAnsi="Arial" w:cs="Arial" w:hint="eastAsia"/>
          <w:kern w:val="0"/>
          <w:szCs w:val="21"/>
        </w:rPr>
        <w:t>四</w:t>
      </w:r>
      <w:r w:rsidRPr="00FD5083">
        <w:rPr>
          <w:rFonts w:ascii="Arial" w:hAnsi="Arial" w:cs="Arial"/>
          <w:kern w:val="0"/>
          <w:szCs w:val="21"/>
        </w:rPr>
        <w:t>年</w:t>
      </w:r>
      <w:r w:rsidR="00B773B0">
        <w:rPr>
          <w:rFonts w:ascii="Arial" w:hAnsi="Arial" w:cs="Arial" w:hint="eastAsia"/>
          <w:kern w:val="0"/>
          <w:szCs w:val="21"/>
        </w:rPr>
        <w:t>四</w:t>
      </w:r>
      <w:r w:rsidR="00527CFF" w:rsidRPr="00FD5083">
        <w:rPr>
          <w:rFonts w:ascii="Arial" w:hAnsi="Arial" w:cs="Arial"/>
          <w:kern w:val="0"/>
          <w:szCs w:val="21"/>
        </w:rPr>
        <w:t>月</w:t>
      </w:r>
      <w:r w:rsidR="00B773B0">
        <w:rPr>
          <w:rFonts w:ascii="Arial" w:hAnsi="Arial" w:cs="Arial" w:hint="eastAsia"/>
          <w:kern w:val="0"/>
          <w:szCs w:val="21"/>
        </w:rPr>
        <w:t>二十五</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12" w:rsidRDefault="003D3E12" w:rsidP="008E6554">
      <w:r>
        <w:separator/>
      </w:r>
    </w:p>
  </w:endnote>
  <w:endnote w:type="continuationSeparator" w:id="0">
    <w:p w:rsidR="003D3E12" w:rsidRDefault="003D3E12"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12" w:rsidRDefault="003D3E12" w:rsidP="008E6554">
      <w:r>
        <w:separator/>
      </w:r>
    </w:p>
  </w:footnote>
  <w:footnote w:type="continuationSeparator" w:id="0">
    <w:p w:rsidR="003D3E12" w:rsidRDefault="003D3E12"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00AC0"/>
    <w:rsid w:val="001177E7"/>
    <w:rsid w:val="00117968"/>
    <w:rsid w:val="00127C63"/>
    <w:rsid w:val="00136B2A"/>
    <w:rsid w:val="00144AA1"/>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93333"/>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0778"/>
    <w:rsid w:val="00374180"/>
    <w:rsid w:val="003762D2"/>
    <w:rsid w:val="003771C3"/>
    <w:rsid w:val="003801D7"/>
    <w:rsid w:val="00384C5E"/>
    <w:rsid w:val="003861FC"/>
    <w:rsid w:val="00387125"/>
    <w:rsid w:val="003A0B39"/>
    <w:rsid w:val="003A1F16"/>
    <w:rsid w:val="003A5DF4"/>
    <w:rsid w:val="003A64B2"/>
    <w:rsid w:val="003A7FBF"/>
    <w:rsid w:val="003B2CB1"/>
    <w:rsid w:val="003B5AD4"/>
    <w:rsid w:val="003B5AE0"/>
    <w:rsid w:val="003C51B9"/>
    <w:rsid w:val="003C6C3E"/>
    <w:rsid w:val="003D265E"/>
    <w:rsid w:val="003D3E12"/>
    <w:rsid w:val="003E0E29"/>
    <w:rsid w:val="003E4B8E"/>
    <w:rsid w:val="003F03E2"/>
    <w:rsid w:val="003F5F55"/>
    <w:rsid w:val="003F691A"/>
    <w:rsid w:val="003F7E2A"/>
    <w:rsid w:val="003F7F0F"/>
    <w:rsid w:val="00401ABC"/>
    <w:rsid w:val="004055B6"/>
    <w:rsid w:val="00410A84"/>
    <w:rsid w:val="0042334C"/>
    <w:rsid w:val="00427A8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C1509"/>
    <w:rsid w:val="004D7080"/>
    <w:rsid w:val="004F0132"/>
    <w:rsid w:val="004F7288"/>
    <w:rsid w:val="00500F24"/>
    <w:rsid w:val="00511B95"/>
    <w:rsid w:val="005250BF"/>
    <w:rsid w:val="00527CFF"/>
    <w:rsid w:val="00532059"/>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10F1"/>
    <w:rsid w:val="00622B06"/>
    <w:rsid w:val="0062408D"/>
    <w:rsid w:val="006274D8"/>
    <w:rsid w:val="00636162"/>
    <w:rsid w:val="006363A7"/>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3BD"/>
    <w:rsid w:val="007B6639"/>
    <w:rsid w:val="007D3CD6"/>
    <w:rsid w:val="007D6EA3"/>
    <w:rsid w:val="007E228A"/>
    <w:rsid w:val="007E72F2"/>
    <w:rsid w:val="007F4E1C"/>
    <w:rsid w:val="007F62BF"/>
    <w:rsid w:val="007F6941"/>
    <w:rsid w:val="007F6D8E"/>
    <w:rsid w:val="0080592A"/>
    <w:rsid w:val="0081417C"/>
    <w:rsid w:val="008201EF"/>
    <w:rsid w:val="00826885"/>
    <w:rsid w:val="00830255"/>
    <w:rsid w:val="008302C5"/>
    <w:rsid w:val="00832E38"/>
    <w:rsid w:val="00834CC8"/>
    <w:rsid w:val="00840CA7"/>
    <w:rsid w:val="00846590"/>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D02B7"/>
    <w:rsid w:val="008E6554"/>
    <w:rsid w:val="008E69FE"/>
    <w:rsid w:val="008E6BF4"/>
    <w:rsid w:val="008F10FB"/>
    <w:rsid w:val="008F5136"/>
    <w:rsid w:val="00903B4A"/>
    <w:rsid w:val="00906B42"/>
    <w:rsid w:val="0091122A"/>
    <w:rsid w:val="009253FF"/>
    <w:rsid w:val="009354DB"/>
    <w:rsid w:val="00937946"/>
    <w:rsid w:val="00940389"/>
    <w:rsid w:val="00946C01"/>
    <w:rsid w:val="00952C06"/>
    <w:rsid w:val="00954275"/>
    <w:rsid w:val="009562E6"/>
    <w:rsid w:val="009617F9"/>
    <w:rsid w:val="009652A4"/>
    <w:rsid w:val="00966397"/>
    <w:rsid w:val="00966B34"/>
    <w:rsid w:val="00967C70"/>
    <w:rsid w:val="009700F3"/>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773B0"/>
    <w:rsid w:val="00B84339"/>
    <w:rsid w:val="00B86E81"/>
    <w:rsid w:val="00B94F4F"/>
    <w:rsid w:val="00B951BD"/>
    <w:rsid w:val="00B962A1"/>
    <w:rsid w:val="00BA0262"/>
    <w:rsid w:val="00BA119A"/>
    <w:rsid w:val="00BA44DB"/>
    <w:rsid w:val="00BB03D2"/>
    <w:rsid w:val="00BB12A1"/>
    <w:rsid w:val="00BB190B"/>
    <w:rsid w:val="00BB3D54"/>
    <w:rsid w:val="00BB53CC"/>
    <w:rsid w:val="00BC6565"/>
    <w:rsid w:val="00BC657E"/>
    <w:rsid w:val="00BD02BA"/>
    <w:rsid w:val="00BD15FF"/>
    <w:rsid w:val="00BD3681"/>
    <w:rsid w:val="00BD417A"/>
    <w:rsid w:val="00BD61AD"/>
    <w:rsid w:val="00C057E4"/>
    <w:rsid w:val="00C06895"/>
    <w:rsid w:val="00C11517"/>
    <w:rsid w:val="00C229F4"/>
    <w:rsid w:val="00C22DC9"/>
    <w:rsid w:val="00C35F6A"/>
    <w:rsid w:val="00C37100"/>
    <w:rsid w:val="00C405EC"/>
    <w:rsid w:val="00C4350D"/>
    <w:rsid w:val="00C53026"/>
    <w:rsid w:val="00C618F3"/>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65C39"/>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642ED"/>
    <w:rsid w:val="00E70226"/>
    <w:rsid w:val="00E73DE9"/>
    <w:rsid w:val="00E769E0"/>
    <w:rsid w:val="00E847F6"/>
    <w:rsid w:val="00E84F28"/>
    <w:rsid w:val="00E913F6"/>
    <w:rsid w:val="00EA161C"/>
    <w:rsid w:val="00EA2824"/>
    <w:rsid w:val="00EA6778"/>
    <w:rsid w:val="00EB3448"/>
    <w:rsid w:val="00EB40D2"/>
    <w:rsid w:val="00EB5B6E"/>
    <w:rsid w:val="00EB5D68"/>
    <w:rsid w:val="00EB6A0C"/>
    <w:rsid w:val="00EC1D5D"/>
    <w:rsid w:val="00EC431C"/>
    <w:rsid w:val="00EC558F"/>
    <w:rsid w:val="00ED4BFA"/>
    <w:rsid w:val="00ED6928"/>
    <w:rsid w:val="00EF4360"/>
    <w:rsid w:val="00EF4BB2"/>
    <w:rsid w:val="00F0297F"/>
    <w:rsid w:val="00F03DB3"/>
    <w:rsid w:val="00F06DDB"/>
    <w:rsid w:val="00F134F4"/>
    <w:rsid w:val="00F14B04"/>
    <w:rsid w:val="00F343D0"/>
    <w:rsid w:val="00F34693"/>
    <w:rsid w:val="00F401A7"/>
    <w:rsid w:val="00F42F90"/>
    <w:rsid w:val="00F5481C"/>
    <w:rsid w:val="00F83ABF"/>
    <w:rsid w:val="00F8402A"/>
    <w:rsid w:val="00F855CA"/>
    <w:rsid w:val="00F90593"/>
    <w:rsid w:val="00F94E2B"/>
    <w:rsid w:val="00F962CA"/>
    <w:rsid w:val="00F9726D"/>
    <w:rsid w:val="00F979F8"/>
    <w:rsid w:val="00FA0D4C"/>
    <w:rsid w:val="00FA0F8B"/>
    <w:rsid w:val="00FA1B39"/>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annotation subject" w:semiHidden="0" w:qFormat="1"/>
    <w:lsdException w:name="Table Subtle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74669648">
      <w:bodyDiv w:val="1"/>
      <w:marLeft w:val="0"/>
      <w:marRight w:val="0"/>
      <w:marTop w:val="0"/>
      <w:marBottom w:val="0"/>
      <w:divBdr>
        <w:top w:val="none" w:sz="0" w:space="0" w:color="auto"/>
        <w:left w:val="none" w:sz="0" w:space="0" w:color="auto"/>
        <w:bottom w:val="none" w:sz="0" w:space="0" w:color="auto"/>
        <w:right w:val="none" w:sz="0" w:space="0" w:color="auto"/>
      </w:divBdr>
      <w:divsChild>
        <w:div w:id="627861791">
          <w:marLeft w:val="0"/>
          <w:marRight w:val="0"/>
          <w:marTop w:val="0"/>
          <w:marBottom w:val="0"/>
          <w:divBdr>
            <w:top w:val="none" w:sz="0" w:space="0" w:color="auto"/>
            <w:left w:val="none" w:sz="0" w:space="0" w:color="auto"/>
            <w:bottom w:val="none" w:sz="0" w:space="0" w:color="auto"/>
            <w:right w:val="none" w:sz="0" w:space="0" w:color="auto"/>
          </w:divBdr>
          <w:divsChild>
            <w:div w:id="1963998824">
              <w:marLeft w:val="0"/>
              <w:marRight w:val="0"/>
              <w:marTop w:val="0"/>
              <w:marBottom w:val="0"/>
              <w:divBdr>
                <w:top w:val="single" w:sz="6" w:space="12" w:color="DDDDDD"/>
                <w:left w:val="single" w:sz="6" w:space="12" w:color="DDDDDD"/>
                <w:bottom w:val="single" w:sz="6" w:space="12" w:color="DDDDDD"/>
                <w:right w:val="single" w:sz="6" w:space="12" w:color="DDDDDD"/>
              </w:divBdr>
              <w:divsChild>
                <w:div w:id="1108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69482379">
      <w:bodyDiv w:val="1"/>
      <w:marLeft w:val="0"/>
      <w:marRight w:val="0"/>
      <w:marTop w:val="0"/>
      <w:marBottom w:val="0"/>
      <w:divBdr>
        <w:top w:val="none" w:sz="0" w:space="0" w:color="auto"/>
        <w:left w:val="none" w:sz="0" w:space="0" w:color="auto"/>
        <w:bottom w:val="none" w:sz="0" w:space="0" w:color="auto"/>
        <w:right w:val="none" w:sz="0" w:space="0" w:color="auto"/>
      </w:divBdr>
      <w:divsChild>
        <w:div w:id="1518932945">
          <w:marLeft w:val="0"/>
          <w:marRight w:val="0"/>
          <w:marTop w:val="0"/>
          <w:marBottom w:val="0"/>
          <w:divBdr>
            <w:top w:val="none" w:sz="0" w:space="0" w:color="auto"/>
            <w:left w:val="none" w:sz="0" w:space="0" w:color="auto"/>
            <w:bottom w:val="none" w:sz="0" w:space="0" w:color="auto"/>
            <w:right w:val="none" w:sz="0" w:space="0" w:color="auto"/>
          </w:divBdr>
          <w:divsChild>
            <w:div w:id="1798446034">
              <w:marLeft w:val="0"/>
              <w:marRight w:val="0"/>
              <w:marTop w:val="0"/>
              <w:marBottom w:val="0"/>
              <w:divBdr>
                <w:top w:val="single" w:sz="6" w:space="12" w:color="DDDDDD"/>
                <w:left w:val="single" w:sz="6" w:space="12" w:color="DDDDDD"/>
                <w:bottom w:val="single" w:sz="6" w:space="12" w:color="DDDDDD"/>
                <w:right w:val="single" w:sz="6" w:space="12" w:color="DDDDDD"/>
              </w:divBdr>
              <w:divsChild>
                <w:div w:id="21252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wf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2580</Characters>
  <Application>Microsoft Office Word</Application>
  <DocSecurity>4</DocSecurity>
  <Lines>21</Lines>
  <Paragraphs>6</Paragraphs>
  <ScaleCrop>false</ScaleCrop>
  <Company>JDJR</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2024-04-24T16:01:00Z</dcterms:created>
  <dcterms:modified xsi:type="dcterms:W3CDTF">2024-04-24T16:01:00Z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