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35" w:rsidRPr="00B23616" w:rsidRDefault="00F97337" w:rsidP="004A631B">
      <w:pPr>
        <w:widowControl/>
        <w:jc w:val="center"/>
        <w:rPr>
          <w:rFonts w:asciiTheme="minorEastAsia" w:eastAsiaTheme="minorEastAsia" w:hAnsiTheme="minorEastAsia" w:cs="宋体"/>
          <w:b/>
          <w:kern w:val="0"/>
          <w:sz w:val="30"/>
          <w:szCs w:val="30"/>
        </w:rPr>
      </w:pPr>
      <w:r w:rsidRPr="00B23616">
        <w:rPr>
          <w:rFonts w:asciiTheme="minorEastAsia" w:eastAsiaTheme="minorEastAsia" w:hAnsiTheme="minorEastAsia" w:cs="宋体"/>
          <w:b/>
          <w:kern w:val="0"/>
          <w:sz w:val="30"/>
          <w:szCs w:val="30"/>
        </w:rPr>
        <w:t>易方达国证新能源电池交易型开放式指数证券投资基金发起式联接基金基金合同生效公告</w:t>
      </w:r>
    </w:p>
    <w:p w:rsidR="00C54D35" w:rsidRPr="00B23616" w:rsidRDefault="00F97337" w:rsidP="00A023D9">
      <w:pPr>
        <w:jc w:val="center"/>
        <w:rPr>
          <w:rFonts w:asciiTheme="minorEastAsia" w:eastAsiaTheme="minorEastAsia" w:hAnsiTheme="minorEastAsia" w:cs="宋体"/>
          <w:b/>
          <w:kern w:val="0"/>
          <w:sz w:val="24"/>
          <w:szCs w:val="24"/>
        </w:rPr>
      </w:pPr>
      <w:r w:rsidRPr="00B23616">
        <w:rPr>
          <w:rFonts w:asciiTheme="minorEastAsia" w:eastAsiaTheme="minorEastAsia" w:hAnsiTheme="minorEastAsia" w:hint="eastAsia"/>
          <w:b/>
          <w:color w:val="000000"/>
          <w:sz w:val="24"/>
          <w:szCs w:val="24"/>
        </w:rPr>
        <w:t>公告送出日期：</w:t>
      </w:r>
      <w:r w:rsidRPr="00B23616">
        <w:rPr>
          <w:rFonts w:asciiTheme="minorEastAsia" w:eastAsiaTheme="minorEastAsia" w:hAnsiTheme="minorEastAsia" w:cs="宋体"/>
          <w:b/>
          <w:bCs/>
          <w:sz w:val="24"/>
          <w:szCs w:val="24"/>
        </w:rPr>
        <w:t>2024</w:t>
      </w:r>
      <w:r w:rsidRPr="00B23616">
        <w:rPr>
          <w:rFonts w:asciiTheme="minorEastAsia" w:eastAsiaTheme="minorEastAsia" w:hAnsiTheme="minorEastAsia" w:cs="宋体"/>
          <w:b/>
          <w:bCs/>
          <w:sz w:val="24"/>
          <w:szCs w:val="24"/>
        </w:rPr>
        <w:t>年</w:t>
      </w:r>
      <w:r w:rsidRPr="00B23616">
        <w:rPr>
          <w:rFonts w:asciiTheme="minorEastAsia" w:eastAsiaTheme="minorEastAsia" w:hAnsiTheme="minorEastAsia" w:cs="宋体"/>
          <w:b/>
          <w:bCs/>
          <w:sz w:val="24"/>
          <w:szCs w:val="24"/>
        </w:rPr>
        <w:t>4</w:t>
      </w:r>
      <w:r w:rsidRPr="00B23616">
        <w:rPr>
          <w:rFonts w:asciiTheme="minorEastAsia" w:eastAsiaTheme="minorEastAsia" w:hAnsiTheme="minorEastAsia" w:cs="宋体"/>
          <w:b/>
          <w:bCs/>
          <w:sz w:val="24"/>
          <w:szCs w:val="24"/>
        </w:rPr>
        <w:t>月</w:t>
      </w:r>
      <w:r w:rsidRPr="00B23616">
        <w:rPr>
          <w:rFonts w:asciiTheme="minorEastAsia" w:eastAsiaTheme="minorEastAsia" w:hAnsiTheme="minorEastAsia" w:cs="宋体"/>
          <w:b/>
          <w:bCs/>
          <w:sz w:val="24"/>
          <w:szCs w:val="24"/>
        </w:rPr>
        <w:t>24</w:t>
      </w:r>
      <w:r w:rsidRPr="00B23616">
        <w:rPr>
          <w:rFonts w:asciiTheme="minorEastAsia" w:eastAsiaTheme="minorEastAsia" w:hAnsiTheme="minorEastAsia" w:cs="宋体"/>
          <w:b/>
          <w:bCs/>
          <w:sz w:val="24"/>
          <w:szCs w:val="24"/>
        </w:rPr>
        <w:t>日</w:t>
      </w:r>
    </w:p>
    <w:p w:rsidR="00C54D35" w:rsidRPr="00B23616" w:rsidRDefault="00F97337" w:rsidP="00CF259A">
      <w:pPr>
        <w:pStyle w:val="3"/>
        <w:keepNext w:val="0"/>
        <w:keepLines w:val="0"/>
        <w:spacing w:before="0" w:after="0" w:line="360" w:lineRule="auto"/>
        <w:rPr>
          <w:rFonts w:asciiTheme="minorEastAsia" w:eastAsiaTheme="minorEastAsia" w:hAnsiTheme="minorEastAsia"/>
          <w:bCs w:val="0"/>
          <w:sz w:val="24"/>
          <w:szCs w:val="24"/>
        </w:rPr>
      </w:pPr>
      <w:bookmarkStart w:id="0" w:name="_Toc275961391"/>
      <w:r w:rsidRPr="00B23616">
        <w:rPr>
          <w:rFonts w:asciiTheme="minorEastAsia" w:eastAsiaTheme="minorEastAsia" w:hAnsiTheme="minorEastAsia"/>
          <w:bCs w:val="0"/>
          <w:sz w:val="24"/>
          <w:szCs w:val="24"/>
        </w:rPr>
        <w:t>1.</w:t>
      </w:r>
      <w:r w:rsidRPr="00B23616">
        <w:rPr>
          <w:rFonts w:asciiTheme="minorEastAsia" w:eastAsiaTheme="minorEastAsia" w:hAnsiTheme="minorEastAsia" w:hint="eastAsia"/>
          <w:bCs w:val="0"/>
          <w:sz w:val="24"/>
          <w:szCs w:val="24"/>
        </w:rPr>
        <w:t>公告基本信息</w:t>
      </w:r>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0"/>
        <w:gridCol w:w="5857"/>
      </w:tblGrid>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基金名称</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易方达国证新能源电池交易型开放式指数证券投资基金发起式联接基金</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基金简称</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易方达国证新能源电池</w:t>
            </w:r>
            <w:r w:rsidRPr="00B23616">
              <w:rPr>
                <w:rFonts w:asciiTheme="minorEastAsia" w:eastAsiaTheme="minorEastAsia" w:hAnsiTheme="minorEastAsia"/>
                <w:sz w:val="24"/>
                <w:szCs w:val="24"/>
              </w:rPr>
              <w:t>ETF</w:t>
            </w:r>
            <w:r w:rsidRPr="00B23616">
              <w:rPr>
                <w:rFonts w:asciiTheme="minorEastAsia" w:eastAsiaTheme="minorEastAsia" w:hAnsiTheme="minorEastAsia"/>
                <w:sz w:val="24"/>
                <w:szCs w:val="24"/>
              </w:rPr>
              <w:t>联接发起式</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基金主代码</w:t>
            </w:r>
          </w:p>
        </w:tc>
        <w:tc>
          <w:tcPr>
            <w:tcW w:w="5857"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021033</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基金运作方式</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契约型开放式</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基金合同生效日</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23</w:t>
            </w:r>
            <w:r w:rsidRPr="00B23616">
              <w:rPr>
                <w:rFonts w:asciiTheme="minorEastAsia" w:eastAsiaTheme="minorEastAsia" w:hAnsiTheme="minorEastAsia"/>
                <w:sz w:val="24"/>
                <w:szCs w:val="24"/>
              </w:rPr>
              <w:t>日</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基金管理人名称</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易方达基金管理有限公司</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基金托管人名称</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国投证券股份有限公司</w:t>
            </w:r>
          </w:p>
        </w:tc>
      </w:tr>
      <w:tr w:rsidR="007B4604" w:rsidTr="00A023D9">
        <w:trPr>
          <w:trHeight w:val="386"/>
          <w:jc w:val="center"/>
        </w:trPr>
        <w:tc>
          <w:tcPr>
            <w:tcW w:w="3790"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公告依据</w:t>
            </w:r>
          </w:p>
        </w:tc>
        <w:tc>
          <w:tcPr>
            <w:tcW w:w="5857" w:type="dxa"/>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中华人民共和国证券投资基金法》及其配套法规、《易方达国证新能源电池交易型开放式指数证券投资基金发起式联接基金基金合同》《易方达国证新能源电池交易型开放式指数证券投资基金发起式联接基金招募说明书》</w:t>
            </w:r>
          </w:p>
        </w:tc>
      </w:tr>
    </w:tbl>
    <w:p w:rsidR="00C54D35" w:rsidRPr="00B23616" w:rsidRDefault="00F97337" w:rsidP="00B23616">
      <w:pPr>
        <w:spacing w:line="360" w:lineRule="auto"/>
        <w:ind w:firstLineChars="200" w:firstLine="480"/>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注：</w:t>
      </w:r>
      <w:r w:rsidRPr="00B23616">
        <w:rPr>
          <w:rFonts w:asciiTheme="minorEastAsia" w:eastAsiaTheme="minorEastAsia" w:hAnsiTheme="minorEastAsia"/>
          <w:color w:val="000000"/>
          <w:sz w:val="24"/>
          <w:szCs w:val="24"/>
        </w:rPr>
        <w:t>A</w:t>
      </w:r>
      <w:r w:rsidRPr="00B23616">
        <w:rPr>
          <w:rFonts w:asciiTheme="minorEastAsia" w:eastAsiaTheme="minorEastAsia" w:hAnsiTheme="minorEastAsia"/>
          <w:color w:val="000000"/>
          <w:sz w:val="24"/>
          <w:szCs w:val="24"/>
        </w:rPr>
        <w:t>类份额基金代码为</w:t>
      </w:r>
      <w:r w:rsidRPr="00B23616">
        <w:rPr>
          <w:rFonts w:asciiTheme="minorEastAsia" w:eastAsiaTheme="minorEastAsia" w:hAnsiTheme="minorEastAsia"/>
          <w:color w:val="000000"/>
          <w:sz w:val="24"/>
          <w:szCs w:val="24"/>
        </w:rPr>
        <w:t>021033</w:t>
      </w:r>
      <w:r w:rsidRPr="00B23616">
        <w:rPr>
          <w:rFonts w:asciiTheme="minorEastAsia" w:eastAsiaTheme="minorEastAsia" w:hAnsiTheme="minorEastAsia"/>
          <w:color w:val="000000"/>
          <w:sz w:val="24"/>
          <w:szCs w:val="24"/>
        </w:rPr>
        <w:t>，</w:t>
      </w:r>
      <w:r w:rsidRPr="00B23616">
        <w:rPr>
          <w:rFonts w:asciiTheme="minorEastAsia" w:eastAsiaTheme="minorEastAsia" w:hAnsiTheme="minorEastAsia"/>
          <w:color w:val="000000"/>
          <w:sz w:val="24"/>
          <w:szCs w:val="24"/>
        </w:rPr>
        <w:t>C</w:t>
      </w:r>
      <w:r w:rsidRPr="00B23616">
        <w:rPr>
          <w:rFonts w:asciiTheme="minorEastAsia" w:eastAsiaTheme="minorEastAsia" w:hAnsiTheme="minorEastAsia"/>
          <w:color w:val="000000"/>
          <w:sz w:val="24"/>
          <w:szCs w:val="24"/>
        </w:rPr>
        <w:t>类份额基金代码为</w:t>
      </w:r>
      <w:r w:rsidRPr="00B23616">
        <w:rPr>
          <w:rFonts w:asciiTheme="minorEastAsia" w:eastAsiaTheme="minorEastAsia" w:hAnsiTheme="minorEastAsia"/>
          <w:color w:val="000000"/>
          <w:sz w:val="24"/>
          <w:szCs w:val="24"/>
        </w:rPr>
        <w:t>021034</w:t>
      </w:r>
      <w:r w:rsidRPr="00B23616">
        <w:rPr>
          <w:rFonts w:asciiTheme="minorEastAsia" w:eastAsiaTheme="minorEastAsia" w:hAnsiTheme="minorEastAsia"/>
          <w:color w:val="000000"/>
          <w:sz w:val="24"/>
          <w:szCs w:val="24"/>
        </w:rPr>
        <w:t>。</w:t>
      </w:r>
    </w:p>
    <w:p w:rsidR="00C54D35" w:rsidRPr="00B23616" w:rsidRDefault="00F97337" w:rsidP="00CF259A">
      <w:pPr>
        <w:pStyle w:val="3"/>
        <w:keepNext w:val="0"/>
        <w:keepLines w:val="0"/>
        <w:spacing w:before="0" w:after="0" w:line="360" w:lineRule="auto"/>
        <w:rPr>
          <w:rFonts w:asciiTheme="minorEastAsia" w:eastAsiaTheme="minorEastAsia" w:hAnsiTheme="minorEastAsia"/>
          <w:bCs w:val="0"/>
          <w:sz w:val="24"/>
          <w:szCs w:val="24"/>
        </w:rPr>
      </w:pPr>
      <w:bookmarkStart w:id="1" w:name="_Toc275961392"/>
      <w:r w:rsidRPr="00B23616">
        <w:rPr>
          <w:rFonts w:asciiTheme="minorEastAsia" w:eastAsiaTheme="minorEastAsia" w:hAnsiTheme="minorEastAsia"/>
          <w:bCs w:val="0"/>
          <w:sz w:val="24"/>
          <w:szCs w:val="24"/>
        </w:rPr>
        <w:t>2.</w:t>
      </w:r>
      <w:r w:rsidRPr="00B23616">
        <w:rPr>
          <w:rFonts w:asciiTheme="minorEastAsia" w:eastAsiaTheme="minorEastAsia" w:hAnsiTheme="minorEastAsia" w:hint="eastAsia"/>
          <w:bCs w:val="0"/>
          <w:sz w:val="24"/>
          <w:szCs w:val="24"/>
        </w:rPr>
        <w:t>基金募集情况</w:t>
      </w:r>
      <w:bookmarkEnd w:id="1"/>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2126"/>
        <w:gridCol w:w="1843"/>
        <w:gridCol w:w="1843"/>
        <w:gridCol w:w="1891"/>
      </w:tblGrid>
      <w:tr w:rsidR="007B4604" w:rsidTr="00303DE0">
        <w:trPr>
          <w:trHeight w:val="386"/>
          <w:jc w:val="center"/>
        </w:trPr>
        <w:tc>
          <w:tcPr>
            <w:tcW w:w="4075" w:type="dxa"/>
            <w:gridSpan w:val="2"/>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基金募集申请获中国证监会核准的文号</w:t>
            </w:r>
          </w:p>
        </w:tc>
        <w:tc>
          <w:tcPr>
            <w:tcW w:w="5577" w:type="dxa"/>
            <w:gridSpan w:val="3"/>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中国证券监督管理委员会证监许可〔</w:t>
            </w: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w:t>
            </w:r>
            <w:r w:rsidRPr="00B23616">
              <w:rPr>
                <w:rFonts w:asciiTheme="minorEastAsia" w:eastAsiaTheme="minorEastAsia" w:hAnsiTheme="minorEastAsia"/>
                <w:sz w:val="24"/>
                <w:szCs w:val="24"/>
              </w:rPr>
              <w:t>368</w:t>
            </w:r>
            <w:r w:rsidRPr="00B23616">
              <w:rPr>
                <w:rFonts w:asciiTheme="minorEastAsia" w:eastAsiaTheme="minorEastAsia" w:hAnsiTheme="minorEastAsia"/>
                <w:sz w:val="24"/>
                <w:szCs w:val="24"/>
              </w:rPr>
              <w:t>号</w:t>
            </w:r>
          </w:p>
        </w:tc>
      </w:tr>
      <w:tr w:rsidR="007B4604" w:rsidTr="00303DE0">
        <w:trPr>
          <w:trHeight w:val="600"/>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基金募集期间</w:t>
            </w:r>
          </w:p>
        </w:tc>
        <w:tc>
          <w:tcPr>
            <w:tcW w:w="5577" w:type="dxa"/>
            <w:gridSpan w:val="3"/>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自</w:t>
            </w: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1</w:t>
            </w:r>
            <w:r w:rsidRPr="00B23616">
              <w:rPr>
                <w:rFonts w:asciiTheme="minorEastAsia" w:eastAsiaTheme="minorEastAsia" w:hAnsiTheme="minorEastAsia"/>
                <w:sz w:val="24"/>
                <w:szCs w:val="24"/>
              </w:rPr>
              <w:t>日</w:t>
            </w:r>
            <w:r w:rsidRPr="00B23616">
              <w:rPr>
                <w:rFonts w:asciiTheme="minorEastAsia" w:eastAsiaTheme="minorEastAsia" w:hAnsiTheme="minorEastAsia" w:hint="eastAsia"/>
                <w:sz w:val="24"/>
                <w:szCs w:val="24"/>
              </w:rPr>
              <w:t>至</w:t>
            </w: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19</w:t>
            </w:r>
            <w:r w:rsidRPr="00B23616">
              <w:rPr>
                <w:rFonts w:asciiTheme="minorEastAsia" w:eastAsiaTheme="minorEastAsia" w:hAnsiTheme="minorEastAsia"/>
                <w:sz w:val="24"/>
                <w:szCs w:val="24"/>
              </w:rPr>
              <w:t>日</w:t>
            </w:r>
          </w:p>
        </w:tc>
      </w:tr>
      <w:tr w:rsidR="007B4604" w:rsidTr="00303DE0">
        <w:trPr>
          <w:trHeight w:val="386"/>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验资机构名称</w:t>
            </w:r>
          </w:p>
        </w:tc>
        <w:tc>
          <w:tcPr>
            <w:tcW w:w="5577" w:type="dxa"/>
            <w:gridSpan w:val="3"/>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安永华明会计师事务所（特殊普通合伙）</w:t>
            </w:r>
          </w:p>
        </w:tc>
      </w:tr>
      <w:tr w:rsidR="007B4604" w:rsidTr="00303DE0">
        <w:trPr>
          <w:trHeight w:val="386"/>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募集资金划入基金托管专户的日期</w:t>
            </w:r>
          </w:p>
        </w:tc>
        <w:tc>
          <w:tcPr>
            <w:tcW w:w="5577" w:type="dxa"/>
            <w:gridSpan w:val="3"/>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23</w:t>
            </w:r>
            <w:r w:rsidRPr="00B23616">
              <w:rPr>
                <w:rFonts w:asciiTheme="minorEastAsia" w:eastAsiaTheme="minorEastAsia" w:hAnsiTheme="minorEastAsia"/>
                <w:sz w:val="24"/>
                <w:szCs w:val="24"/>
              </w:rPr>
              <w:t>日</w:t>
            </w:r>
          </w:p>
        </w:tc>
      </w:tr>
      <w:tr w:rsidR="007B4604" w:rsidTr="00303DE0">
        <w:trPr>
          <w:trHeight w:val="386"/>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募集有效认购总户数（单位：户）</w:t>
            </w:r>
          </w:p>
        </w:tc>
        <w:tc>
          <w:tcPr>
            <w:tcW w:w="5577" w:type="dxa"/>
            <w:gridSpan w:val="3"/>
            <w:vAlign w:val="center"/>
          </w:tcPr>
          <w:p w:rsidR="00C54D35" w:rsidRPr="00B23616" w:rsidRDefault="00F97337" w:rsidP="00470D71">
            <w:pPr>
              <w:rPr>
                <w:rFonts w:asciiTheme="minorEastAsia" w:eastAsiaTheme="minorEastAsia" w:hAnsiTheme="minorEastAsia"/>
                <w:sz w:val="24"/>
                <w:szCs w:val="24"/>
              </w:rPr>
            </w:pPr>
            <w:r w:rsidRPr="00B23616">
              <w:rPr>
                <w:rFonts w:asciiTheme="minorEastAsia" w:eastAsiaTheme="minorEastAsia" w:hAnsiTheme="minorEastAsia"/>
                <w:sz w:val="24"/>
                <w:szCs w:val="24"/>
              </w:rPr>
              <w:t>4,326</w:t>
            </w:r>
          </w:p>
        </w:tc>
      </w:tr>
      <w:tr w:rsidR="007B4604" w:rsidTr="00303DE0">
        <w:trPr>
          <w:trHeight w:val="386"/>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份额类别</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易方达国证新能源电池</w:t>
            </w:r>
            <w:r w:rsidRPr="00B23616">
              <w:rPr>
                <w:rFonts w:asciiTheme="minorEastAsia" w:eastAsiaTheme="minorEastAsia" w:hAnsiTheme="minorEastAsia"/>
                <w:sz w:val="24"/>
                <w:szCs w:val="24"/>
              </w:rPr>
              <w:t>ETF</w:t>
            </w:r>
            <w:r w:rsidRPr="00B23616">
              <w:rPr>
                <w:rFonts w:asciiTheme="minorEastAsia" w:eastAsiaTheme="minorEastAsia" w:hAnsiTheme="minorEastAsia"/>
                <w:sz w:val="24"/>
                <w:szCs w:val="24"/>
              </w:rPr>
              <w:t>联接发起式</w:t>
            </w:r>
            <w:r w:rsidRPr="00B23616">
              <w:rPr>
                <w:rFonts w:asciiTheme="minorEastAsia" w:eastAsiaTheme="minorEastAsia" w:hAnsiTheme="minorEastAsia"/>
                <w:sz w:val="24"/>
                <w:szCs w:val="24"/>
              </w:rPr>
              <w:t>A</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易方达国证新能源电池</w:t>
            </w:r>
            <w:r w:rsidRPr="00B23616">
              <w:rPr>
                <w:rFonts w:asciiTheme="minorEastAsia" w:eastAsiaTheme="minorEastAsia" w:hAnsiTheme="minorEastAsia"/>
                <w:sz w:val="24"/>
                <w:szCs w:val="24"/>
              </w:rPr>
              <w:t>ETF</w:t>
            </w:r>
            <w:r w:rsidRPr="00B23616">
              <w:rPr>
                <w:rFonts w:asciiTheme="minorEastAsia" w:eastAsiaTheme="minorEastAsia" w:hAnsiTheme="minorEastAsia"/>
                <w:sz w:val="24"/>
                <w:szCs w:val="24"/>
              </w:rPr>
              <w:t>联接发起式</w:t>
            </w:r>
            <w:r w:rsidRPr="00B23616">
              <w:rPr>
                <w:rFonts w:asciiTheme="minorEastAsia" w:eastAsiaTheme="minorEastAsia" w:hAnsiTheme="minorEastAsia"/>
                <w:sz w:val="24"/>
                <w:szCs w:val="24"/>
              </w:rPr>
              <w:t>C</w:t>
            </w:r>
          </w:p>
        </w:tc>
        <w:tc>
          <w:tcPr>
            <w:tcW w:w="1891" w:type="dxa"/>
            <w:vAlign w:val="center"/>
          </w:tcPr>
          <w:p w:rsidR="00C54D35" w:rsidRPr="00B23616" w:rsidRDefault="00F97337" w:rsidP="009F569E">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合计</w:t>
            </w:r>
          </w:p>
        </w:tc>
      </w:tr>
      <w:tr w:rsidR="007B4604" w:rsidTr="00303DE0">
        <w:trPr>
          <w:trHeight w:val="386"/>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募集期间净认购金额（单位：</w:t>
            </w:r>
            <w:r w:rsidR="008A4FFB" w:rsidRPr="00B23616">
              <w:rPr>
                <w:rFonts w:asciiTheme="minorEastAsia" w:eastAsiaTheme="minorEastAsia" w:hAnsiTheme="minorEastAsia" w:hint="eastAsia"/>
                <w:sz w:val="24"/>
                <w:szCs w:val="24"/>
              </w:rPr>
              <w:t>人民币</w:t>
            </w:r>
            <w:r w:rsidRPr="00B23616">
              <w:rPr>
                <w:rFonts w:asciiTheme="minorEastAsia" w:eastAsiaTheme="minorEastAsia" w:hAnsiTheme="minorEastAsia" w:hint="eastAsia"/>
                <w:sz w:val="24"/>
                <w:szCs w:val="24"/>
              </w:rPr>
              <w:t>元）</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14,486,448.12</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13,427,014.57</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27,913,462.69</w:t>
            </w:r>
          </w:p>
        </w:tc>
      </w:tr>
      <w:tr w:rsidR="007B4604" w:rsidTr="00303DE0">
        <w:trPr>
          <w:trHeight w:val="454"/>
          <w:jc w:val="center"/>
        </w:trPr>
        <w:tc>
          <w:tcPr>
            <w:tcW w:w="4075" w:type="dxa"/>
            <w:gridSpan w:val="2"/>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认购资金在募集期间产生的利息（单位：</w:t>
            </w:r>
            <w:r w:rsidR="008A4FFB" w:rsidRPr="00B23616">
              <w:rPr>
                <w:rFonts w:asciiTheme="minorEastAsia" w:eastAsiaTheme="minorEastAsia" w:hAnsiTheme="minorEastAsia" w:hint="eastAsia"/>
                <w:sz w:val="24"/>
                <w:szCs w:val="24"/>
              </w:rPr>
              <w:t>人民币</w:t>
            </w:r>
            <w:r w:rsidRPr="00B23616">
              <w:rPr>
                <w:rFonts w:asciiTheme="minorEastAsia" w:eastAsiaTheme="minorEastAsia" w:hAnsiTheme="minorEastAsia" w:hint="eastAsia"/>
                <w:sz w:val="24"/>
                <w:szCs w:val="24"/>
              </w:rPr>
              <w:t>元）</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1,020.78</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1,910.71</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2,931.49</w:t>
            </w:r>
          </w:p>
        </w:tc>
      </w:tr>
      <w:tr w:rsidR="007B4604" w:rsidTr="00303DE0">
        <w:trPr>
          <w:jc w:val="center"/>
        </w:trPr>
        <w:tc>
          <w:tcPr>
            <w:tcW w:w="1949" w:type="dxa"/>
            <w:vMerge w:val="restart"/>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募集份额（单位：份）</w:t>
            </w: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有效认购份额</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14,486,448.12</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13,427,014.57</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27,913,462.69</w:t>
            </w:r>
          </w:p>
        </w:tc>
      </w:tr>
      <w:tr w:rsidR="007B4604" w:rsidTr="00303DE0">
        <w:trPr>
          <w:jc w:val="center"/>
        </w:trPr>
        <w:tc>
          <w:tcPr>
            <w:tcW w:w="1949" w:type="dxa"/>
            <w:vMerge/>
            <w:vAlign w:val="center"/>
          </w:tcPr>
          <w:p w:rsidR="00C54D35" w:rsidRPr="00B23616" w:rsidRDefault="00C54D35" w:rsidP="00CF259A">
            <w:pPr>
              <w:rPr>
                <w:rFonts w:asciiTheme="minorEastAsia" w:eastAsiaTheme="minorEastAsia" w:hAnsiTheme="minorEastAsia"/>
                <w:sz w:val="24"/>
                <w:szCs w:val="24"/>
              </w:rPr>
            </w:pP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利息结转的份额</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1,020.78</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1,910.71</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2,931.49</w:t>
            </w:r>
          </w:p>
        </w:tc>
      </w:tr>
      <w:tr w:rsidR="007B4604" w:rsidTr="00303DE0">
        <w:trPr>
          <w:jc w:val="center"/>
        </w:trPr>
        <w:tc>
          <w:tcPr>
            <w:tcW w:w="1949" w:type="dxa"/>
            <w:vMerge/>
            <w:vAlign w:val="center"/>
          </w:tcPr>
          <w:p w:rsidR="00C54D35" w:rsidRPr="00B23616" w:rsidRDefault="00C54D35" w:rsidP="00CF259A">
            <w:pPr>
              <w:rPr>
                <w:rFonts w:asciiTheme="minorEastAsia" w:eastAsiaTheme="minorEastAsia" w:hAnsiTheme="minorEastAsia"/>
                <w:sz w:val="24"/>
                <w:szCs w:val="24"/>
              </w:rPr>
            </w:pP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合计</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14,487,468.90</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13,428,925.28</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27,916,394.18</w:t>
            </w:r>
          </w:p>
        </w:tc>
      </w:tr>
      <w:tr w:rsidR="007B4604" w:rsidTr="00303DE0">
        <w:trPr>
          <w:jc w:val="center"/>
        </w:trPr>
        <w:tc>
          <w:tcPr>
            <w:tcW w:w="1949" w:type="dxa"/>
            <w:vMerge w:val="restart"/>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其中：募集期间基金管理人运用</w:t>
            </w:r>
            <w:r w:rsidRPr="00B23616">
              <w:rPr>
                <w:rFonts w:asciiTheme="minorEastAsia" w:eastAsiaTheme="minorEastAsia" w:hAnsiTheme="minorEastAsia" w:hint="eastAsia"/>
                <w:sz w:val="24"/>
                <w:szCs w:val="24"/>
              </w:rPr>
              <w:lastRenderedPageBreak/>
              <w:t>固有资金认购本基金情况</w:t>
            </w: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lastRenderedPageBreak/>
              <w:t>认购的基金份额（单位：份）</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r>
      <w:tr w:rsidR="007B4604" w:rsidTr="00303DE0">
        <w:trPr>
          <w:jc w:val="center"/>
        </w:trPr>
        <w:tc>
          <w:tcPr>
            <w:tcW w:w="1949" w:type="dxa"/>
            <w:vMerge/>
            <w:vAlign w:val="center"/>
          </w:tcPr>
          <w:p w:rsidR="00C54D35" w:rsidRPr="00B23616" w:rsidRDefault="00C54D35" w:rsidP="00CF259A">
            <w:pPr>
              <w:rPr>
                <w:rFonts w:asciiTheme="minorEastAsia" w:eastAsiaTheme="minorEastAsia" w:hAnsiTheme="minorEastAsia"/>
                <w:sz w:val="24"/>
                <w:szCs w:val="24"/>
              </w:rPr>
            </w:pP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占基金总份额比例</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69.0283%</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0.0000%</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35.8229%</w:t>
            </w:r>
          </w:p>
        </w:tc>
      </w:tr>
      <w:tr w:rsidR="007B4604" w:rsidTr="00303DE0">
        <w:trPr>
          <w:jc w:val="center"/>
        </w:trPr>
        <w:tc>
          <w:tcPr>
            <w:tcW w:w="1949" w:type="dxa"/>
            <w:vMerge/>
            <w:vAlign w:val="center"/>
          </w:tcPr>
          <w:p w:rsidR="00C54D35" w:rsidRPr="00B23616" w:rsidRDefault="00C54D35" w:rsidP="00CF259A">
            <w:pPr>
              <w:rPr>
                <w:rFonts w:asciiTheme="minorEastAsia" w:eastAsiaTheme="minorEastAsia" w:hAnsiTheme="minorEastAsia"/>
                <w:sz w:val="24"/>
                <w:szCs w:val="24"/>
              </w:rPr>
            </w:pP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其他需要说明的事项</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认购日期为</w:t>
            </w: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19</w:t>
            </w:r>
            <w:r w:rsidRPr="00B23616">
              <w:rPr>
                <w:rFonts w:asciiTheme="minorEastAsia" w:eastAsiaTheme="minorEastAsia" w:hAnsiTheme="minorEastAsia"/>
                <w:sz w:val="24"/>
                <w:szCs w:val="24"/>
              </w:rPr>
              <w:t>日，认购费率为</w:t>
            </w:r>
            <w:r w:rsidRPr="00B23616">
              <w:rPr>
                <w:rFonts w:asciiTheme="minorEastAsia" w:eastAsiaTheme="minorEastAsia" w:hAnsiTheme="minorEastAsia"/>
                <w:sz w:val="24"/>
                <w:szCs w:val="24"/>
              </w:rPr>
              <w:t>1,000</w:t>
            </w:r>
            <w:r w:rsidRPr="00B23616">
              <w:rPr>
                <w:rFonts w:asciiTheme="minorEastAsia" w:eastAsiaTheme="minorEastAsia" w:hAnsiTheme="minorEastAsia"/>
                <w:sz w:val="24"/>
                <w:szCs w:val="24"/>
              </w:rPr>
              <w:t>元</w:t>
            </w:r>
            <w:r w:rsidRPr="00B23616">
              <w:rPr>
                <w:rFonts w:asciiTheme="minorEastAsia" w:eastAsiaTheme="minorEastAsia" w:hAnsiTheme="minorEastAsia"/>
                <w:sz w:val="24"/>
                <w:szCs w:val="24"/>
              </w:rPr>
              <w:t>/</w:t>
            </w:r>
            <w:r w:rsidRPr="00B23616">
              <w:rPr>
                <w:rFonts w:asciiTheme="minorEastAsia" w:eastAsiaTheme="minorEastAsia" w:hAnsiTheme="minorEastAsia"/>
                <w:sz w:val="24"/>
                <w:szCs w:val="24"/>
              </w:rPr>
              <w:t>笔。</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r w:rsidR="007B4604" w:rsidTr="00303DE0">
        <w:trPr>
          <w:jc w:val="center"/>
        </w:trPr>
        <w:tc>
          <w:tcPr>
            <w:tcW w:w="1949" w:type="dxa"/>
            <w:vMerge w:val="restart"/>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其中：募集期间基金管理人的从业人员认购本基金情况</w:t>
            </w: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认购的基金份额（单位：份）</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w:t>
            </w:r>
          </w:p>
        </w:tc>
      </w:tr>
      <w:tr w:rsidR="007B4604" w:rsidTr="00303DE0">
        <w:trPr>
          <w:jc w:val="center"/>
        </w:trPr>
        <w:tc>
          <w:tcPr>
            <w:tcW w:w="1949" w:type="dxa"/>
            <w:vMerge/>
            <w:vAlign w:val="center"/>
          </w:tcPr>
          <w:p w:rsidR="00C54D35" w:rsidRPr="00B23616" w:rsidRDefault="00C54D35" w:rsidP="00CF259A">
            <w:pPr>
              <w:rPr>
                <w:rFonts w:asciiTheme="minorEastAsia" w:eastAsiaTheme="minorEastAsia" w:hAnsiTheme="minorEastAsia"/>
                <w:sz w:val="24"/>
                <w:szCs w:val="24"/>
              </w:rPr>
            </w:pPr>
          </w:p>
        </w:tc>
        <w:tc>
          <w:tcPr>
            <w:tcW w:w="2126"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占基金总份额比例</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0.0000%</w:t>
            </w:r>
          </w:p>
        </w:tc>
        <w:tc>
          <w:tcPr>
            <w:tcW w:w="1843"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0.0000%</w:t>
            </w:r>
          </w:p>
        </w:tc>
        <w:tc>
          <w:tcPr>
            <w:tcW w:w="1891" w:type="dxa"/>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sz w:val="24"/>
                <w:szCs w:val="24"/>
              </w:rPr>
              <w:t>0.0000%</w:t>
            </w:r>
          </w:p>
        </w:tc>
      </w:tr>
      <w:tr w:rsidR="007B4604" w:rsidTr="00303DE0">
        <w:trPr>
          <w:jc w:val="center"/>
        </w:trPr>
        <w:tc>
          <w:tcPr>
            <w:tcW w:w="7761" w:type="dxa"/>
            <w:gridSpan w:val="4"/>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募集期限届满基金是否符合法律法规规定的办理基金备案手续的条件</w:t>
            </w:r>
          </w:p>
        </w:tc>
        <w:tc>
          <w:tcPr>
            <w:tcW w:w="1891" w:type="dxa"/>
          </w:tcPr>
          <w:p w:rsidR="00C54D35" w:rsidRPr="00B23616" w:rsidRDefault="00F97337" w:rsidP="005B66AC">
            <w:pPr>
              <w:rPr>
                <w:rFonts w:asciiTheme="minorEastAsia" w:eastAsiaTheme="minorEastAsia" w:hAnsiTheme="minorEastAsia"/>
                <w:sz w:val="24"/>
                <w:szCs w:val="24"/>
              </w:rPr>
            </w:pPr>
            <w:r w:rsidRPr="00B23616">
              <w:rPr>
                <w:rFonts w:asciiTheme="minorEastAsia" w:eastAsiaTheme="minorEastAsia" w:hAnsiTheme="minorEastAsia"/>
                <w:sz w:val="24"/>
                <w:szCs w:val="24"/>
              </w:rPr>
              <w:t>是</w:t>
            </w:r>
          </w:p>
        </w:tc>
      </w:tr>
      <w:tr w:rsidR="007B4604" w:rsidTr="00303DE0">
        <w:trPr>
          <w:jc w:val="center"/>
        </w:trPr>
        <w:tc>
          <w:tcPr>
            <w:tcW w:w="7761" w:type="dxa"/>
            <w:gridSpan w:val="4"/>
            <w:vAlign w:val="center"/>
          </w:tcPr>
          <w:p w:rsidR="00C54D35" w:rsidRPr="00B23616" w:rsidRDefault="00F97337" w:rsidP="00CF259A">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向中国证监会办理基金备案手续获得书面确认的日期</w:t>
            </w:r>
          </w:p>
        </w:tc>
        <w:tc>
          <w:tcPr>
            <w:tcW w:w="1891" w:type="dxa"/>
          </w:tcPr>
          <w:p w:rsidR="00C54D35" w:rsidRPr="00B23616" w:rsidRDefault="00F97337" w:rsidP="005B66AC">
            <w:pPr>
              <w:rPr>
                <w:rFonts w:asciiTheme="minorEastAsia" w:eastAsiaTheme="minorEastAsia" w:hAnsiTheme="minorEastAsia"/>
                <w:sz w:val="24"/>
                <w:szCs w:val="24"/>
              </w:rPr>
            </w:pPr>
            <w:r w:rsidRPr="00B23616">
              <w:rPr>
                <w:rFonts w:asciiTheme="minorEastAsia" w:eastAsiaTheme="minorEastAsia" w:hAnsiTheme="minorEastAsia"/>
                <w:sz w:val="24"/>
                <w:szCs w:val="24"/>
              </w:rPr>
              <w:t>2024</w:t>
            </w:r>
            <w:r w:rsidRPr="00B23616">
              <w:rPr>
                <w:rFonts w:asciiTheme="minorEastAsia" w:eastAsiaTheme="minorEastAsia" w:hAnsiTheme="minorEastAsia"/>
                <w:sz w:val="24"/>
                <w:szCs w:val="24"/>
              </w:rPr>
              <w:t>年</w:t>
            </w:r>
            <w:r w:rsidRPr="00B23616">
              <w:rPr>
                <w:rFonts w:asciiTheme="minorEastAsia" w:eastAsiaTheme="minorEastAsia" w:hAnsiTheme="minorEastAsia"/>
                <w:sz w:val="24"/>
                <w:szCs w:val="24"/>
              </w:rPr>
              <w:t>4</w:t>
            </w:r>
            <w:r w:rsidRPr="00B23616">
              <w:rPr>
                <w:rFonts w:asciiTheme="minorEastAsia" w:eastAsiaTheme="minorEastAsia" w:hAnsiTheme="minorEastAsia"/>
                <w:sz w:val="24"/>
                <w:szCs w:val="24"/>
              </w:rPr>
              <w:t>月</w:t>
            </w:r>
            <w:r w:rsidRPr="00B23616">
              <w:rPr>
                <w:rFonts w:asciiTheme="minorEastAsia" w:eastAsiaTheme="minorEastAsia" w:hAnsiTheme="minorEastAsia"/>
                <w:sz w:val="24"/>
                <w:szCs w:val="24"/>
              </w:rPr>
              <w:t>23</w:t>
            </w:r>
            <w:r w:rsidRPr="00B23616">
              <w:rPr>
                <w:rFonts w:asciiTheme="minorEastAsia" w:eastAsiaTheme="minorEastAsia" w:hAnsiTheme="minorEastAsia"/>
                <w:sz w:val="24"/>
                <w:szCs w:val="24"/>
              </w:rPr>
              <w:t>日</w:t>
            </w:r>
          </w:p>
        </w:tc>
      </w:tr>
    </w:tbl>
    <w:p w:rsidR="00C54D35" w:rsidRPr="00B23616" w:rsidRDefault="00F97337" w:rsidP="00B23616">
      <w:pPr>
        <w:spacing w:line="360" w:lineRule="auto"/>
        <w:ind w:firstLineChars="200" w:firstLine="480"/>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注：本基金合同生效前的信息披露费、会计师费和律师费不从基金财产中列支。</w:t>
      </w:r>
    </w:p>
    <w:p w:rsidR="00C54D35" w:rsidRPr="00B23616" w:rsidRDefault="00F97337" w:rsidP="00B74C5F">
      <w:pPr>
        <w:pStyle w:val="3"/>
        <w:keepNext w:val="0"/>
        <w:keepLines w:val="0"/>
        <w:spacing w:before="0" w:after="0" w:line="360" w:lineRule="auto"/>
        <w:rPr>
          <w:rFonts w:asciiTheme="minorEastAsia" w:eastAsiaTheme="minorEastAsia" w:hAnsiTheme="minorEastAsia"/>
          <w:bCs w:val="0"/>
          <w:sz w:val="24"/>
          <w:szCs w:val="24"/>
        </w:rPr>
      </w:pPr>
      <w:bookmarkStart w:id="2" w:name="_Toc275961393"/>
      <w:r w:rsidRPr="00B23616">
        <w:rPr>
          <w:rFonts w:asciiTheme="minorEastAsia" w:eastAsiaTheme="minorEastAsia" w:hAnsiTheme="minorEastAsia"/>
          <w:bCs w:val="0"/>
          <w:sz w:val="24"/>
          <w:szCs w:val="24"/>
        </w:rPr>
        <w:t>3.</w:t>
      </w:r>
      <w:r w:rsidRPr="00B23616">
        <w:rPr>
          <w:rFonts w:asciiTheme="minorEastAsia" w:eastAsiaTheme="minorEastAsia" w:hAnsiTheme="minorEastAsia" w:hint="eastAsia"/>
          <w:bCs w:val="0"/>
          <w:sz w:val="24"/>
          <w:szCs w:val="24"/>
        </w:rPr>
        <w:t>发起式基金发起资金持有份额情况</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1276"/>
        <w:gridCol w:w="1843"/>
        <w:gridCol w:w="1275"/>
        <w:gridCol w:w="1701"/>
      </w:tblGrid>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项目</w:t>
            </w:r>
          </w:p>
        </w:tc>
        <w:tc>
          <w:tcPr>
            <w:tcW w:w="1843" w:type="dxa"/>
            <w:vAlign w:val="center"/>
          </w:tcPr>
          <w:p w:rsidR="00C54D35" w:rsidRPr="00B23616" w:rsidRDefault="00F97337" w:rsidP="00D43190">
            <w:pPr>
              <w:adjustRightInd w:val="0"/>
              <w:snapToGrid w:val="0"/>
              <w:spacing w:line="360" w:lineRule="exact"/>
              <w:jc w:val="right"/>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持有份额总数</w:t>
            </w:r>
          </w:p>
        </w:tc>
        <w:tc>
          <w:tcPr>
            <w:tcW w:w="1276" w:type="dxa"/>
            <w:vAlign w:val="center"/>
          </w:tcPr>
          <w:p w:rsidR="00C54D35" w:rsidRPr="00B23616" w:rsidRDefault="00F97337" w:rsidP="00D43190">
            <w:pPr>
              <w:adjustRightInd w:val="0"/>
              <w:snapToGrid w:val="0"/>
              <w:spacing w:line="360" w:lineRule="exact"/>
              <w:jc w:val="right"/>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持有份额占基金总份额比例</w:t>
            </w:r>
          </w:p>
        </w:tc>
        <w:tc>
          <w:tcPr>
            <w:tcW w:w="1843" w:type="dxa"/>
            <w:vAlign w:val="center"/>
          </w:tcPr>
          <w:p w:rsidR="00C54D35" w:rsidRPr="00B23616" w:rsidRDefault="00F97337" w:rsidP="00D43190">
            <w:pPr>
              <w:adjustRightInd w:val="0"/>
              <w:snapToGrid w:val="0"/>
              <w:spacing w:line="360" w:lineRule="exact"/>
              <w:jc w:val="right"/>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发起份额总数</w:t>
            </w:r>
          </w:p>
        </w:tc>
        <w:tc>
          <w:tcPr>
            <w:tcW w:w="1275" w:type="dxa"/>
            <w:vAlign w:val="center"/>
          </w:tcPr>
          <w:p w:rsidR="00C54D35" w:rsidRPr="00B23616" w:rsidRDefault="00F97337" w:rsidP="00D43190">
            <w:pPr>
              <w:adjustRightInd w:val="0"/>
              <w:snapToGrid w:val="0"/>
              <w:spacing w:line="360" w:lineRule="exact"/>
              <w:jc w:val="right"/>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发起份额占基金总份额比例</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发起份额承诺持有期限</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基金管理人固有资金</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35.8229%</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35.8229%</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不少于</w:t>
            </w:r>
            <w:r w:rsidRPr="00B23616">
              <w:rPr>
                <w:rFonts w:asciiTheme="minorEastAsia" w:eastAsiaTheme="minorEastAsia" w:hAnsiTheme="minorEastAsia"/>
                <w:sz w:val="24"/>
                <w:szCs w:val="24"/>
              </w:rPr>
              <w:t>3</w:t>
            </w:r>
            <w:r w:rsidRPr="00B23616">
              <w:rPr>
                <w:rFonts w:asciiTheme="minorEastAsia" w:eastAsiaTheme="minorEastAsia" w:hAnsiTheme="minorEastAsia"/>
                <w:sz w:val="24"/>
                <w:szCs w:val="24"/>
              </w:rPr>
              <w:t>年</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基金管理人高级管理人员</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基金经理等人员</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基金管理人股东</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其他</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r w:rsidR="007B4604" w:rsidTr="00303DE0">
        <w:tc>
          <w:tcPr>
            <w:tcW w:w="1843" w:type="dxa"/>
            <w:vAlign w:val="center"/>
          </w:tcPr>
          <w:p w:rsidR="00C54D35" w:rsidRPr="00B23616" w:rsidRDefault="00F97337" w:rsidP="00B74C5F">
            <w:pPr>
              <w:rPr>
                <w:rFonts w:asciiTheme="minorEastAsia" w:eastAsiaTheme="minorEastAsia" w:hAnsiTheme="minorEastAsia"/>
                <w:sz w:val="24"/>
                <w:szCs w:val="24"/>
              </w:rPr>
            </w:pPr>
            <w:r w:rsidRPr="00B23616">
              <w:rPr>
                <w:rFonts w:asciiTheme="minorEastAsia" w:eastAsiaTheme="minorEastAsia" w:hAnsiTheme="minorEastAsia" w:hint="eastAsia"/>
                <w:sz w:val="24"/>
                <w:szCs w:val="24"/>
              </w:rPr>
              <w:t>合计</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c>
          <w:tcPr>
            <w:tcW w:w="1276"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35.8229%</w:t>
            </w:r>
          </w:p>
        </w:tc>
        <w:tc>
          <w:tcPr>
            <w:tcW w:w="1843"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10,000,450.04</w:t>
            </w:r>
          </w:p>
        </w:tc>
        <w:tc>
          <w:tcPr>
            <w:tcW w:w="1275"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35.8229%</w:t>
            </w:r>
          </w:p>
        </w:tc>
        <w:tc>
          <w:tcPr>
            <w:tcW w:w="1701" w:type="dxa"/>
            <w:vAlign w:val="center"/>
          </w:tcPr>
          <w:p w:rsidR="00C54D35" w:rsidRPr="00B23616" w:rsidRDefault="00F97337" w:rsidP="00D43190">
            <w:pPr>
              <w:jc w:val="right"/>
              <w:rPr>
                <w:rFonts w:asciiTheme="minorEastAsia" w:eastAsiaTheme="minorEastAsia" w:hAnsiTheme="minorEastAsia"/>
                <w:sz w:val="24"/>
                <w:szCs w:val="24"/>
              </w:rPr>
            </w:pPr>
            <w:r w:rsidRPr="00B23616">
              <w:rPr>
                <w:rFonts w:asciiTheme="minorEastAsia" w:eastAsiaTheme="minorEastAsia" w:hAnsiTheme="minorEastAsia"/>
                <w:sz w:val="24"/>
                <w:szCs w:val="24"/>
              </w:rPr>
              <w:t>-</w:t>
            </w:r>
          </w:p>
        </w:tc>
      </w:tr>
    </w:tbl>
    <w:p w:rsidR="00C54D35" w:rsidRPr="00B23616" w:rsidRDefault="00F97337" w:rsidP="00B74C5F">
      <w:pPr>
        <w:pStyle w:val="3"/>
        <w:keepNext w:val="0"/>
        <w:keepLines w:val="0"/>
        <w:spacing w:before="0" w:after="0" w:line="360" w:lineRule="auto"/>
        <w:rPr>
          <w:rFonts w:asciiTheme="minorEastAsia" w:eastAsiaTheme="minorEastAsia" w:hAnsiTheme="minorEastAsia"/>
          <w:bCs w:val="0"/>
          <w:sz w:val="24"/>
          <w:szCs w:val="24"/>
        </w:rPr>
      </w:pPr>
      <w:r w:rsidRPr="00B23616">
        <w:rPr>
          <w:rFonts w:asciiTheme="minorEastAsia" w:eastAsiaTheme="minorEastAsia" w:hAnsiTheme="minorEastAsia"/>
          <w:bCs w:val="0"/>
          <w:sz w:val="24"/>
          <w:szCs w:val="24"/>
        </w:rPr>
        <w:t>4.</w:t>
      </w:r>
      <w:r w:rsidRPr="00B23616">
        <w:rPr>
          <w:rFonts w:asciiTheme="minorEastAsia" w:eastAsiaTheme="minorEastAsia" w:hAnsiTheme="minorEastAsia" w:hint="eastAsia"/>
          <w:bCs w:val="0"/>
          <w:sz w:val="24"/>
          <w:szCs w:val="24"/>
        </w:rPr>
        <w:t>其他需要提示的事项</w:t>
      </w:r>
      <w:bookmarkEnd w:id="2"/>
    </w:p>
    <w:p w:rsidR="00BB4CAC" w:rsidRPr="00B23616" w:rsidRDefault="00F97337">
      <w:pPr>
        <w:spacing w:line="360" w:lineRule="auto"/>
        <w:ind w:firstLineChars="200" w:firstLine="480"/>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自基金合同生效之日起，本基金管理人正式开始管理本基金。</w:t>
      </w:r>
    </w:p>
    <w:p w:rsidR="00BB4CAC" w:rsidRPr="00B23616" w:rsidRDefault="00F97337">
      <w:pPr>
        <w:spacing w:line="360" w:lineRule="auto"/>
        <w:ind w:firstLineChars="200" w:firstLine="480"/>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基金管理人可根据实际情况依法决定本基金开始办理申购的具体日期。基金管理人自基金合同生效之日起不超过三个月开始办理赎回。</w:t>
      </w:r>
    </w:p>
    <w:p w:rsidR="00BB4CAC" w:rsidRPr="00B23616" w:rsidRDefault="00F97337" w:rsidP="00B23616">
      <w:pPr>
        <w:spacing w:line="360" w:lineRule="auto"/>
        <w:ind w:firstLineChars="200" w:firstLine="480"/>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在确定申购开始与赎回开始时间后，基金管理人应在申购、赎回开放前依照《公开募集证券投资基金信息披露管理办法》的有关规定在规定媒介上进行公告。</w:t>
      </w:r>
      <w:bookmarkStart w:id="3" w:name="_GoBack"/>
      <w:bookmarkEnd w:id="3"/>
    </w:p>
    <w:p w:rsidR="00BB4CAC" w:rsidRPr="00B23616" w:rsidRDefault="00F97337" w:rsidP="00A023D9">
      <w:pPr>
        <w:spacing w:line="360" w:lineRule="auto"/>
        <w:ind w:leftChars="100" w:left="320" w:firstLineChars="200" w:firstLine="480"/>
        <w:jc w:val="right"/>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易方达基金管理有限公司</w:t>
      </w:r>
    </w:p>
    <w:p w:rsidR="00C54D35" w:rsidRPr="00B23616" w:rsidRDefault="00F97337" w:rsidP="00A023D9">
      <w:pPr>
        <w:spacing w:line="360" w:lineRule="auto"/>
        <w:ind w:leftChars="100" w:left="320" w:right="240" w:firstLineChars="200" w:firstLine="480"/>
        <w:jc w:val="right"/>
        <w:rPr>
          <w:rFonts w:asciiTheme="minorEastAsia" w:eastAsiaTheme="minorEastAsia" w:hAnsiTheme="minorEastAsia"/>
          <w:color w:val="000000"/>
          <w:sz w:val="24"/>
          <w:szCs w:val="24"/>
        </w:rPr>
      </w:pPr>
      <w:r w:rsidRPr="00B23616">
        <w:rPr>
          <w:rFonts w:asciiTheme="minorEastAsia" w:eastAsiaTheme="minorEastAsia" w:hAnsiTheme="minorEastAsia"/>
          <w:color w:val="000000"/>
          <w:sz w:val="24"/>
          <w:szCs w:val="24"/>
        </w:rPr>
        <w:t>2024</w:t>
      </w:r>
      <w:r w:rsidRPr="00B23616">
        <w:rPr>
          <w:rFonts w:asciiTheme="minorEastAsia" w:eastAsiaTheme="minorEastAsia" w:hAnsiTheme="minorEastAsia"/>
          <w:color w:val="000000"/>
          <w:sz w:val="24"/>
          <w:szCs w:val="24"/>
        </w:rPr>
        <w:t>年</w:t>
      </w:r>
      <w:r w:rsidRPr="00B23616">
        <w:rPr>
          <w:rFonts w:asciiTheme="minorEastAsia" w:eastAsiaTheme="minorEastAsia" w:hAnsiTheme="minorEastAsia"/>
          <w:color w:val="000000"/>
          <w:sz w:val="24"/>
          <w:szCs w:val="24"/>
        </w:rPr>
        <w:t>4</w:t>
      </w:r>
      <w:r w:rsidRPr="00B23616">
        <w:rPr>
          <w:rFonts w:asciiTheme="minorEastAsia" w:eastAsiaTheme="minorEastAsia" w:hAnsiTheme="minorEastAsia"/>
          <w:color w:val="000000"/>
          <w:sz w:val="24"/>
          <w:szCs w:val="24"/>
        </w:rPr>
        <w:t>月</w:t>
      </w:r>
      <w:r w:rsidRPr="00B23616">
        <w:rPr>
          <w:rFonts w:asciiTheme="minorEastAsia" w:eastAsiaTheme="minorEastAsia" w:hAnsiTheme="minorEastAsia"/>
          <w:color w:val="000000"/>
          <w:sz w:val="24"/>
          <w:szCs w:val="24"/>
        </w:rPr>
        <w:t>24</w:t>
      </w:r>
      <w:r w:rsidRPr="00B23616">
        <w:rPr>
          <w:rFonts w:asciiTheme="minorEastAsia" w:eastAsiaTheme="minorEastAsia" w:hAnsiTheme="minorEastAsia"/>
          <w:color w:val="000000"/>
          <w:sz w:val="24"/>
          <w:szCs w:val="24"/>
        </w:rPr>
        <w:t>日</w:t>
      </w:r>
    </w:p>
    <w:sectPr w:rsidR="00C54D35" w:rsidRPr="00B23616" w:rsidSect="004C05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5DF"/>
    <w:rsid w:val="00032D81"/>
    <w:rsid w:val="000330C4"/>
    <w:rsid w:val="00035D00"/>
    <w:rsid w:val="00041353"/>
    <w:rsid w:val="00102950"/>
    <w:rsid w:val="0010447C"/>
    <w:rsid w:val="00131CAD"/>
    <w:rsid w:val="001A0386"/>
    <w:rsid w:val="001D0858"/>
    <w:rsid w:val="001E1459"/>
    <w:rsid w:val="002A2812"/>
    <w:rsid w:val="002B287A"/>
    <w:rsid w:val="002B4F0F"/>
    <w:rsid w:val="002C1686"/>
    <w:rsid w:val="003000C2"/>
    <w:rsid w:val="0030037A"/>
    <w:rsid w:val="00303DE0"/>
    <w:rsid w:val="00364C2A"/>
    <w:rsid w:val="00390E48"/>
    <w:rsid w:val="003C0D0A"/>
    <w:rsid w:val="003C3029"/>
    <w:rsid w:val="003F6FC9"/>
    <w:rsid w:val="00470D71"/>
    <w:rsid w:val="0049139B"/>
    <w:rsid w:val="004966BA"/>
    <w:rsid w:val="004A631B"/>
    <w:rsid w:val="004C055C"/>
    <w:rsid w:val="005434E3"/>
    <w:rsid w:val="005B66AC"/>
    <w:rsid w:val="005C0B8D"/>
    <w:rsid w:val="005C1B44"/>
    <w:rsid w:val="005D5CAA"/>
    <w:rsid w:val="005D6260"/>
    <w:rsid w:val="005D62A1"/>
    <w:rsid w:val="005E0049"/>
    <w:rsid w:val="005F60DE"/>
    <w:rsid w:val="00613952"/>
    <w:rsid w:val="00615513"/>
    <w:rsid w:val="00622436"/>
    <w:rsid w:val="00674714"/>
    <w:rsid w:val="006C0D9C"/>
    <w:rsid w:val="006C3386"/>
    <w:rsid w:val="00717E45"/>
    <w:rsid w:val="00721770"/>
    <w:rsid w:val="00737166"/>
    <w:rsid w:val="0075321E"/>
    <w:rsid w:val="007B4604"/>
    <w:rsid w:val="007C24C0"/>
    <w:rsid w:val="007F4376"/>
    <w:rsid w:val="008066EF"/>
    <w:rsid w:val="00865588"/>
    <w:rsid w:val="00887978"/>
    <w:rsid w:val="008A4FFB"/>
    <w:rsid w:val="008C6FD7"/>
    <w:rsid w:val="008D1678"/>
    <w:rsid w:val="008D4098"/>
    <w:rsid w:val="00904108"/>
    <w:rsid w:val="009371A9"/>
    <w:rsid w:val="00944CBC"/>
    <w:rsid w:val="00965048"/>
    <w:rsid w:val="009F4198"/>
    <w:rsid w:val="009F569E"/>
    <w:rsid w:val="00A023D9"/>
    <w:rsid w:val="00A04914"/>
    <w:rsid w:val="00A37576"/>
    <w:rsid w:val="00A7218A"/>
    <w:rsid w:val="00A74AFB"/>
    <w:rsid w:val="00B23616"/>
    <w:rsid w:val="00B2478D"/>
    <w:rsid w:val="00B53A7A"/>
    <w:rsid w:val="00B74C5F"/>
    <w:rsid w:val="00B90602"/>
    <w:rsid w:val="00BB4CAC"/>
    <w:rsid w:val="00BD0512"/>
    <w:rsid w:val="00C2642E"/>
    <w:rsid w:val="00C30E6A"/>
    <w:rsid w:val="00C40FE0"/>
    <w:rsid w:val="00C54D35"/>
    <w:rsid w:val="00C935DF"/>
    <w:rsid w:val="00CB0572"/>
    <w:rsid w:val="00CB3E1F"/>
    <w:rsid w:val="00CF259A"/>
    <w:rsid w:val="00D43190"/>
    <w:rsid w:val="00DA2CD1"/>
    <w:rsid w:val="00DC112B"/>
    <w:rsid w:val="00E2069A"/>
    <w:rsid w:val="00E2122C"/>
    <w:rsid w:val="00E52575"/>
    <w:rsid w:val="00E57275"/>
    <w:rsid w:val="00EB06D4"/>
    <w:rsid w:val="00EC181E"/>
    <w:rsid w:val="00EE18FB"/>
    <w:rsid w:val="00EF40F5"/>
    <w:rsid w:val="00F10215"/>
    <w:rsid w:val="00F97337"/>
    <w:rsid w:val="00FE31B7"/>
    <w:rsid w:val="00FF2E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kern w:val="2"/>
      <w:sz w:val="32"/>
    </w:rPr>
  </w:style>
  <w:style w:type="paragraph" w:styleId="2">
    <w:name w:val="heading 2"/>
    <w:basedOn w:val="a"/>
    <w:next w:val="a"/>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CF259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935DF"/>
    <w:rPr>
      <w:rFonts w:ascii="Arial" w:eastAsia="黑体" w:hAnsi="Arial" w:cs="Times New Roman"/>
      <w:b/>
      <w:bCs/>
      <w:sz w:val="32"/>
      <w:szCs w:val="32"/>
    </w:rPr>
  </w:style>
  <w:style w:type="character" w:customStyle="1" w:styleId="3Char">
    <w:name w:val="标题 3 Char"/>
    <w:link w:val="3"/>
    <w:uiPriority w:val="99"/>
    <w:locked/>
    <w:rsid w:val="00CF259A"/>
    <w:rPr>
      <w:rFonts w:ascii="Times New Roman" w:eastAsia="宋体" w:hAnsi="Times New Roman" w:cs="Times New Roman"/>
      <w:b/>
      <w:bCs/>
      <w:sz w:val="32"/>
      <w:szCs w:val="32"/>
    </w:rPr>
  </w:style>
  <w:style w:type="character" w:styleId="a3">
    <w:name w:val="footnote reference"/>
    <w:uiPriority w:val="99"/>
    <w:rsid w:val="00C935DF"/>
    <w:rPr>
      <w:rFonts w:cs="Times New Roman"/>
      <w:vertAlign w:val="superscript"/>
    </w:rPr>
  </w:style>
  <w:style w:type="paragraph" w:styleId="a4">
    <w:name w:val="footnote text"/>
    <w:basedOn w:val="a"/>
    <w:link w:val="Char"/>
    <w:uiPriority w:val="99"/>
    <w:rsid w:val="00C935DF"/>
    <w:pPr>
      <w:snapToGrid w:val="0"/>
      <w:jc w:val="left"/>
    </w:pPr>
    <w:rPr>
      <w:rFonts w:eastAsia="宋体"/>
      <w:sz w:val="18"/>
    </w:rPr>
  </w:style>
  <w:style w:type="character" w:customStyle="1" w:styleId="Char">
    <w:name w:val="脚注文本 Char"/>
    <w:link w:val="a4"/>
    <w:uiPriority w:val="99"/>
    <w:locked/>
    <w:rsid w:val="00C935DF"/>
    <w:rPr>
      <w:rFonts w:ascii="Times New Roman" w:eastAsia="宋体" w:hAnsi="Times New Roman" w:cs="Times New Roman"/>
      <w:sz w:val="20"/>
      <w:szCs w:val="20"/>
    </w:rPr>
  </w:style>
  <w:style w:type="paragraph" w:styleId="a5">
    <w:name w:val="header"/>
    <w:basedOn w:val="a"/>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5E0049"/>
    <w:rPr>
      <w:rFonts w:ascii="Times New Roman" w:eastAsia="方正仿宋简体" w:hAnsi="Times New Roman" w:cs="Times New Roman"/>
      <w:sz w:val="18"/>
      <w:szCs w:val="18"/>
    </w:rPr>
  </w:style>
  <w:style w:type="paragraph" w:styleId="a6">
    <w:name w:val="footer"/>
    <w:basedOn w:val="a"/>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a6"/>
    <w:uiPriority w:val="99"/>
    <w:locked/>
    <w:rsid w:val="005E0049"/>
    <w:rPr>
      <w:rFonts w:ascii="Times New Roman" w:eastAsia="方正仿宋简体" w:hAnsi="Times New Roman" w:cs="Times New Roman"/>
      <w:sz w:val="18"/>
      <w:szCs w:val="18"/>
    </w:rPr>
  </w:style>
  <w:style w:type="paragraph" w:styleId="a7">
    <w:name w:val="Document Map"/>
    <w:basedOn w:val="a"/>
    <w:link w:val="Char2"/>
    <w:uiPriority w:val="99"/>
    <w:semiHidden/>
    <w:rsid w:val="0030037A"/>
    <w:rPr>
      <w:rFonts w:ascii="宋体" w:eastAsia="宋体"/>
      <w:sz w:val="18"/>
      <w:szCs w:val="18"/>
    </w:rPr>
  </w:style>
  <w:style w:type="character" w:customStyle="1" w:styleId="Char2">
    <w:name w:val="文档结构图 Char"/>
    <w:link w:val="a7"/>
    <w:uiPriority w:val="99"/>
    <w:semiHidden/>
    <w:locked/>
    <w:rsid w:val="0030037A"/>
    <w:rPr>
      <w:rFonts w:ascii="宋体" w:eastAsia="宋体" w:hAnsi="Times New Roman" w:cs="Times New Roman"/>
      <w:sz w:val="18"/>
      <w:szCs w:val="18"/>
    </w:rPr>
  </w:style>
  <w:style w:type="table" w:styleId="a8">
    <w:name w:val="Table Grid"/>
    <w:basedOn w:val="a1"/>
    <w:uiPriority w:val="9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4</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2024-04-23T16:02:00Z</dcterms:created>
  <dcterms:modified xsi:type="dcterms:W3CDTF">2024-04-23T16:02:00Z</dcterms:modified>
</cp:coreProperties>
</file>