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32" w:rsidRPr="00A32B99" w:rsidRDefault="003570D0" w:rsidP="00683961">
      <w:pPr>
        <w:widowControl/>
        <w:jc w:val="center"/>
        <w:rPr>
          <w:rFonts w:ascii="宋体" w:hAnsi="宋体"/>
          <w:b/>
          <w:bCs/>
          <w:color w:val="000000" w:themeColor="text1"/>
          <w:sz w:val="32"/>
          <w:szCs w:val="24"/>
        </w:rPr>
      </w:pPr>
      <w:r w:rsidRPr="00A32B99">
        <w:rPr>
          <w:rFonts w:ascii="宋体" w:hAnsi="宋体" w:hint="eastAsia"/>
          <w:b/>
          <w:bCs/>
          <w:color w:val="000000" w:themeColor="text1"/>
          <w:sz w:val="32"/>
          <w:szCs w:val="24"/>
        </w:rPr>
        <w:t>南方基金</w:t>
      </w:r>
      <w:r w:rsidR="001D01FF" w:rsidRPr="00A32B99">
        <w:rPr>
          <w:rFonts w:ascii="宋体" w:hAnsi="宋体" w:hint="eastAsia"/>
          <w:b/>
          <w:bCs/>
          <w:color w:val="000000" w:themeColor="text1"/>
          <w:sz w:val="32"/>
          <w:szCs w:val="24"/>
        </w:rPr>
        <w:t>管理股份有限公司</w:t>
      </w:r>
      <w:r w:rsidRPr="00A32B99">
        <w:rPr>
          <w:rFonts w:ascii="宋体" w:hAnsi="宋体" w:hint="eastAsia"/>
          <w:b/>
          <w:bCs/>
          <w:color w:val="000000" w:themeColor="text1"/>
          <w:sz w:val="32"/>
          <w:szCs w:val="24"/>
        </w:rPr>
        <w:t>关于</w:t>
      </w:r>
      <w:r w:rsidR="005F7A32" w:rsidRPr="00A32B99">
        <w:rPr>
          <w:rFonts w:ascii="宋体" w:hAnsi="宋体" w:hint="eastAsia"/>
          <w:b/>
          <w:bCs/>
          <w:color w:val="000000" w:themeColor="text1"/>
          <w:sz w:val="32"/>
          <w:szCs w:val="24"/>
        </w:rPr>
        <w:t>调整</w:t>
      </w:r>
      <w:r w:rsidR="00417312" w:rsidRPr="00A32B99">
        <w:rPr>
          <w:rFonts w:ascii="宋体" w:hAnsi="宋体" w:hint="eastAsia"/>
          <w:b/>
          <w:bCs/>
          <w:color w:val="000000" w:themeColor="text1"/>
          <w:sz w:val="32"/>
          <w:szCs w:val="24"/>
        </w:rPr>
        <w:t>旗下</w:t>
      </w:r>
      <w:r w:rsidR="005F7A32" w:rsidRPr="00A32B99">
        <w:rPr>
          <w:rFonts w:ascii="宋体" w:hAnsi="宋体" w:hint="eastAsia"/>
          <w:b/>
          <w:bCs/>
          <w:color w:val="000000" w:themeColor="text1"/>
          <w:sz w:val="32"/>
          <w:szCs w:val="24"/>
        </w:rPr>
        <w:t>部分基金</w:t>
      </w:r>
    </w:p>
    <w:p w:rsidR="00CD273E" w:rsidRPr="00A32B99" w:rsidRDefault="005F7A32" w:rsidP="00683961">
      <w:pPr>
        <w:widowControl/>
        <w:jc w:val="center"/>
        <w:rPr>
          <w:rFonts w:ascii="宋体" w:hAnsi="宋体"/>
          <w:b/>
          <w:bCs/>
          <w:color w:val="000000" w:themeColor="text1"/>
          <w:sz w:val="32"/>
          <w:szCs w:val="24"/>
        </w:rPr>
      </w:pPr>
      <w:r w:rsidRPr="00A32B99">
        <w:rPr>
          <w:rFonts w:ascii="宋体" w:hAnsi="宋体" w:hint="eastAsia"/>
          <w:b/>
          <w:bCs/>
          <w:color w:val="000000" w:themeColor="text1"/>
          <w:sz w:val="32"/>
          <w:szCs w:val="24"/>
        </w:rPr>
        <w:t>申购</w:t>
      </w:r>
      <w:r w:rsidR="00A47879">
        <w:rPr>
          <w:rFonts w:ascii="宋体" w:hAnsi="宋体" w:hint="eastAsia"/>
          <w:b/>
          <w:bCs/>
          <w:color w:val="000000" w:themeColor="text1"/>
          <w:sz w:val="32"/>
          <w:szCs w:val="24"/>
        </w:rPr>
        <w:t>和定投业务</w:t>
      </w:r>
      <w:r w:rsidRPr="00A32B99">
        <w:rPr>
          <w:rFonts w:ascii="宋体" w:hAnsi="宋体" w:hint="eastAsia"/>
          <w:b/>
          <w:bCs/>
          <w:color w:val="000000" w:themeColor="text1"/>
          <w:sz w:val="32"/>
          <w:szCs w:val="24"/>
        </w:rPr>
        <w:t>金额限制</w:t>
      </w:r>
      <w:r w:rsidR="00417312" w:rsidRPr="00A32B99">
        <w:rPr>
          <w:rFonts w:ascii="宋体" w:hAnsi="宋体" w:hint="eastAsia"/>
          <w:b/>
          <w:bCs/>
          <w:color w:val="000000" w:themeColor="text1"/>
          <w:sz w:val="32"/>
          <w:szCs w:val="24"/>
        </w:rPr>
        <w:t>的公告</w:t>
      </w:r>
    </w:p>
    <w:p w:rsidR="00CD273E" w:rsidRPr="003569C1" w:rsidRDefault="00CD273E">
      <w:pPr>
        <w:widowControl/>
        <w:spacing w:line="360" w:lineRule="auto"/>
        <w:ind w:firstLineChars="200" w:firstLine="480"/>
        <w:rPr>
          <w:rFonts w:ascii="宋体" w:hAnsi="宋体" w:cs="宋体"/>
          <w:color w:val="000000" w:themeColor="text1"/>
          <w:sz w:val="24"/>
          <w:szCs w:val="24"/>
        </w:rPr>
      </w:pPr>
    </w:p>
    <w:p w:rsidR="005F7A32" w:rsidRPr="003569C1" w:rsidRDefault="005467D6">
      <w:pPr>
        <w:widowControl/>
        <w:spacing w:line="360" w:lineRule="auto"/>
        <w:ind w:firstLineChars="200" w:firstLine="480"/>
        <w:rPr>
          <w:rFonts w:ascii="宋体" w:hAnsi="宋体" w:cs="宋体"/>
          <w:sz w:val="24"/>
          <w:szCs w:val="24"/>
        </w:rPr>
      </w:pPr>
      <w:r w:rsidRPr="005467D6">
        <w:rPr>
          <w:rFonts w:ascii="宋体" w:hAnsi="宋体" w:cs="宋体" w:hint="eastAsia"/>
          <w:sz w:val="24"/>
          <w:szCs w:val="24"/>
        </w:rPr>
        <w:t>为了给基金份额持有人提供更好的服务</w:t>
      </w:r>
      <w:r w:rsidR="00202EBB" w:rsidRPr="003569C1">
        <w:rPr>
          <w:rFonts w:ascii="宋体" w:hAnsi="宋体" w:cs="宋体"/>
          <w:sz w:val="24"/>
          <w:szCs w:val="24"/>
        </w:rPr>
        <w:t>，</w:t>
      </w:r>
      <w:r w:rsidR="00580458" w:rsidRPr="003569C1">
        <w:rPr>
          <w:rFonts w:ascii="宋体" w:hAnsi="宋体" w:cs="宋体"/>
          <w:sz w:val="24"/>
          <w:szCs w:val="24"/>
        </w:rPr>
        <w:t>南方基金管理股份有限公司</w:t>
      </w:r>
      <w:r w:rsidR="00580458" w:rsidRPr="003569C1">
        <w:rPr>
          <w:rFonts w:ascii="宋体" w:hAnsi="宋体" w:cs="宋体" w:hint="eastAsia"/>
          <w:sz w:val="24"/>
          <w:szCs w:val="24"/>
        </w:rPr>
        <w:t>（以下简称“本公司”）</w:t>
      </w:r>
      <w:r w:rsidR="00202EBB" w:rsidRPr="003569C1">
        <w:rPr>
          <w:rFonts w:ascii="宋体" w:hAnsi="宋体" w:cs="宋体"/>
          <w:sz w:val="24"/>
          <w:szCs w:val="24"/>
        </w:rPr>
        <w:t>决定</w:t>
      </w:r>
      <w:r w:rsidR="005F7A32" w:rsidRPr="003569C1">
        <w:rPr>
          <w:rFonts w:ascii="宋体" w:hAnsi="宋体" w:cs="宋体" w:hint="eastAsia"/>
          <w:sz w:val="24"/>
          <w:szCs w:val="24"/>
        </w:rPr>
        <w:t>自2</w:t>
      </w:r>
      <w:r w:rsidR="005F7A32" w:rsidRPr="003569C1">
        <w:rPr>
          <w:rFonts w:ascii="宋体" w:hAnsi="宋体" w:cs="宋体"/>
          <w:sz w:val="24"/>
          <w:szCs w:val="24"/>
        </w:rPr>
        <w:t>024</w:t>
      </w:r>
      <w:r w:rsidR="005F7A32" w:rsidRPr="003569C1">
        <w:rPr>
          <w:rFonts w:ascii="宋体" w:hAnsi="宋体" w:cs="宋体" w:hint="eastAsia"/>
          <w:sz w:val="24"/>
          <w:szCs w:val="24"/>
        </w:rPr>
        <w:t>年</w:t>
      </w:r>
      <w:r w:rsidR="00635F43" w:rsidRPr="003569C1">
        <w:rPr>
          <w:rFonts w:ascii="宋体" w:hAnsi="宋体" w:cs="宋体"/>
          <w:sz w:val="24"/>
          <w:szCs w:val="24"/>
        </w:rPr>
        <w:t>4</w:t>
      </w:r>
      <w:r w:rsidR="005F7A32" w:rsidRPr="003569C1">
        <w:rPr>
          <w:rFonts w:ascii="宋体" w:hAnsi="宋体" w:cs="宋体" w:hint="eastAsia"/>
          <w:sz w:val="24"/>
          <w:szCs w:val="24"/>
        </w:rPr>
        <w:t>月</w:t>
      </w:r>
      <w:r w:rsidR="00635F43" w:rsidRPr="003569C1">
        <w:rPr>
          <w:rFonts w:ascii="宋体" w:hAnsi="宋体" w:cs="宋体"/>
          <w:sz w:val="24"/>
          <w:szCs w:val="24"/>
        </w:rPr>
        <w:t>23</w:t>
      </w:r>
      <w:r w:rsidR="005F7A32" w:rsidRPr="003569C1">
        <w:rPr>
          <w:rFonts w:ascii="宋体" w:hAnsi="宋体" w:cs="宋体" w:hint="eastAsia"/>
          <w:sz w:val="24"/>
          <w:szCs w:val="24"/>
        </w:rPr>
        <w:t>日起，调整旗下部分基金</w:t>
      </w:r>
      <w:r w:rsidRPr="003569C1">
        <w:rPr>
          <w:rFonts w:ascii="宋体" w:hAnsi="宋体" w:cs="宋体" w:hint="eastAsia"/>
          <w:color w:val="000000" w:themeColor="text1"/>
          <w:sz w:val="24"/>
          <w:szCs w:val="24"/>
        </w:rPr>
        <w:t>在</w:t>
      </w:r>
      <w:bookmarkStart w:id="0" w:name="_GoBack"/>
      <w:bookmarkEnd w:id="0"/>
      <w:r>
        <w:rPr>
          <w:rFonts w:ascii="宋体" w:hAnsi="宋体" w:cs="宋体" w:hint="eastAsia"/>
          <w:color w:val="000000" w:themeColor="text1"/>
          <w:sz w:val="24"/>
          <w:szCs w:val="24"/>
        </w:rPr>
        <w:t>本公司</w:t>
      </w:r>
      <w:r w:rsidRPr="003569C1">
        <w:rPr>
          <w:rFonts w:ascii="宋体" w:hAnsi="宋体" w:cs="宋体" w:hint="eastAsia"/>
          <w:color w:val="000000" w:themeColor="text1"/>
          <w:sz w:val="24"/>
          <w:szCs w:val="24"/>
        </w:rPr>
        <w:t>直销机构</w:t>
      </w:r>
      <w:r w:rsidR="005F7A32" w:rsidRPr="003569C1">
        <w:rPr>
          <w:rFonts w:ascii="宋体" w:hAnsi="宋体" w:cs="宋体" w:hint="eastAsia"/>
          <w:sz w:val="24"/>
          <w:szCs w:val="24"/>
        </w:rPr>
        <w:t>申购</w:t>
      </w:r>
      <w:r w:rsidR="00A47879">
        <w:rPr>
          <w:rFonts w:ascii="宋体" w:hAnsi="宋体" w:cs="宋体" w:hint="eastAsia"/>
          <w:sz w:val="24"/>
          <w:szCs w:val="24"/>
        </w:rPr>
        <w:t>和定投业务</w:t>
      </w:r>
      <w:r w:rsidR="005F7A32" w:rsidRPr="003569C1">
        <w:rPr>
          <w:rFonts w:ascii="宋体" w:hAnsi="宋体" w:cs="宋体" w:hint="eastAsia"/>
          <w:sz w:val="24"/>
          <w:szCs w:val="24"/>
        </w:rPr>
        <w:t>金额限制。</w:t>
      </w:r>
    </w:p>
    <w:p w:rsidR="00CD273E" w:rsidRPr="003569C1" w:rsidRDefault="005F7A32">
      <w:pPr>
        <w:widowControl/>
        <w:spacing w:line="360" w:lineRule="auto"/>
        <w:ind w:firstLineChars="200" w:firstLine="480"/>
        <w:rPr>
          <w:rFonts w:ascii="宋体" w:hAnsi="宋体" w:cs="宋体"/>
          <w:sz w:val="24"/>
          <w:szCs w:val="24"/>
        </w:rPr>
      </w:pPr>
      <w:r w:rsidRPr="003569C1">
        <w:rPr>
          <w:rFonts w:ascii="宋体" w:hAnsi="宋体" w:cs="宋体" w:hint="eastAsia"/>
          <w:sz w:val="24"/>
          <w:szCs w:val="24"/>
        </w:rPr>
        <w:t>现将有关事项公告</w:t>
      </w:r>
      <w:r w:rsidR="00202EBB" w:rsidRPr="003569C1">
        <w:rPr>
          <w:rFonts w:ascii="宋体" w:hAnsi="宋体" w:cs="宋体"/>
          <w:sz w:val="24"/>
          <w:szCs w:val="24"/>
        </w:rPr>
        <w:t>如下：</w:t>
      </w:r>
    </w:p>
    <w:p w:rsidR="00CD273E" w:rsidRPr="003569C1" w:rsidRDefault="00202EBB">
      <w:pPr>
        <w:widowControl/>
        <w:spacing w:line="360" w:lineRule="auto"/>
        <w:ind w:firstLineChars="200" w:firstLine="482"/>
        <w:rPr>
          <w:rFonts w:ascii="宋体" w:hAnsi="宋体" w:cs="宋体"/>
          <w:b/>
          <w:color w:val="000000" w:themeColor="text1"/>
          <w:sz w:val="24"/>
          <w:szCs w:val="24"/>
        </w:rPr>
      </w:pPr>
      <w:r w:rsidRPr="003569C1">
        <w:rPr>
          <w:rFonts w:ascii="宋体" w:hAnsi="宋体" w:cs="宋体" w:hint="eastAsia"/>
          <w:b/>
          <w:color w:val="000000" w:themeColor="text1"/>
          <w:sz w:val="24"/>
          <w:szCs w:val="24"/>
        </w:rPr>
        <w:t>一、</w:t>
      </w:r>
      <w:r w:rsidR="005F7A32" w:rsidRPr="003569C1">
        <w:rPr>
          <w:rFonts w:ascii="宋体" w:hAnsi="宋体" w:cs="宋体" w:hint="eastAsia"/>
          <w:b/>
          <w:color w:val="000000" w:themeColor="text1"/>
          <w:sz w:val="24"/>
          <w:szCs w:val="24"/>
        </w:rPr>
        <w:t>调整方案</w:t>
      </w:r>
    </w:p>
    <w:p w:rsidR="00D86E4F" w:rsidRPr="003569C1" w:rsidRDefault="002F57FC">
      <w:pPr>
        <w:widowControl/>
        <w:spacing w:line="360" w:lineRule="auto"/>
        <w:ind w:firstLineChars="200" w:firstLine="480"/>
        <w:rPr>
          <w:rFonts w:ascii="宋体" w:hAnsi="宋体" w:cs="宋体"/>
          <w:color w:val="000000" w:themeColor="text1"/>
          <w:sz w:val="24"/>
          <w:szCs w:val="24"/>
        </w:rPr>
      </w:pPr>
      <w:r w:rsidRPr="003569C1">
        <w:rPr>
          <w:rFonts w:ascii="宋体" w:hAnsi="宋体" w:cs="宋体" w:hint="eastAsia"/>
          <w:color w:val="000000" w:themeColor="text1"/>
          <w:sz w:val="24"/>
          <w:szCs w:val="24"/>
        </w:rPr>
        <w:t>下述</w:t>
      </w:r>
      <w:r w:rsidR="005F7A32" w:rsidRPr="003569C1">
        <w:rPr>
          <w:rFonts w:ascii="宋体" w:hAnsi="宋体" w:cs="宋体" w:hint="eastAsia"/>
          <w:color w:val="000000" w:themeColor="text1"/>
          <w:sz w:val="24"/>
          <w:szCs w:val="24"/>
        </w:rPr>
        <w:t>基金在</w:t>
      </w:r>
      <w:r w:rsidR="00A47879">
        <w:rPr>
          <w:rFonts w:ascii="宋体" w:hAnsi="宋体" w:cs="宋体" w:hint="eastAsia"/>
          <w:color w:val="000000" w:themeColor="text1"/>
          <w:sz w:val="24"/>
          <w:szCs w:val="24"/>
        </w:rPr>
        <w:t>本公司</w:t>
      </w:r>
      <w:r w:rsidR="005F7A32" w:rsidRPr="003569C1">
        <w:rPr>
          <w:rFonts w:ascii="宋体" w:hAnsi="宋体" w:cs="宋体" w:hint="eastAsia"/>
          <w:color w:val="000000" w:themeColor="text1"/>
          <w:sz w:val="24"/>
          <w:szCs w:val="24"/>
        </w:rPr>
        <w:t>直销机构</w:t>
      </w:r>
      <w:r w:rsidR="00A32B99" w:rsidRPr="003569C1">
        <w:rPr>
          <w:rFonts w:ascii="宋体" w:hAnsi="宋体" w:cs="宋体" w:hint="eastAsia"/>
          <w:color w:val="000000" w:themeColor="text1"/>
          <w:sz w:val="24"/>
          <w:szCs w:val="24"/>
        </w:rPr>
        <w:t>（含电子直销平台、直销柜台）</w:t>
      </w:r>
      <w:r w:rsidR="00FD3121" w:rsidRPr="003569C1">
        <w:rPr>
          <w:rFonts w:ascii="宋体" w:hAnsi="宋体" w:cs="宋体" w:hint="eastAsia"/>
          <w:color w:val="000000" w:themeColor="text1"/>
          <w:sz w:val="24"/>
          <w:szCs w:val="24"/>
        </w:rPr>
        <w:t>申购</w:t>
      </w:r>
      <w:r w:rsidR="00092C79" w:rsidRPr="003569C1">
        <w:rPr>
          <w:rFonts w:ascii="宋体" w:hAnsi="宋体" w:cs="宋体" w:hint="eastAsia"/>
          <w:color w:val="000000" w:themeColor="text1"/>
          <w:sz w:val="24"/>
          <w:szCs w:val="24"/>
        </w:rPr>
        <w:t>、转换转入</w:t>
      </w:r>
      <w:r w:rsidR="00E3209A">
        <w:rPr>
          <w:rFonts w:ascii="宋体" w:hAnsi="宋体" w:cs="宋体" w:hint="eastAsia"/>
          <w:color w:val="000000" w:themeColor="text1"/>
          <w:sz w:val="24"/>
          <w:szCs w:val="24"/>
        </w:rPr>
        <w:t>、定投</w:t>
      </w:r>
      <w:r w:rsidR="005F7A32" w:rsidRPr="003569C1">
        <w:rPr>
          <w:rFonts w:ascii="宋体" w:hAnsi="宋体" w:cs="宋体" w:hint="eastAsia"/>
          <w:color w:val="000000" w:themeColor="text1"/>
          <w:sz w:val="24"/>
          <w:szCs w:val="24"/>
        </w:rPr>
        <w:t>最低金额调整为</w:t>
      </w:r>
      <w:r w:rsidR="00E3209A">
        <w:rPr>
          <w:rFonts w:ascii="宋体" w:hAnsi="宋体" w:cs="宋体" w:hint="eastAsia"/>
          <w:color w:val="000000" w:themeColor="text1"/>
          <w:sz w:val="24"/>
          <w:szCs w:val="24"/>
        </w:rPr>
        <w:t>1</w:t>
      </w:r>
      <w:r w:rsidR="005F7A32" w:rsidRPr="003569C1">
        <w:rPr>
          <w:rFonts w:ascii="宋体" w:hAnsi="宋体" w:cs="宋体" w:hint="eastAsia"/>
          <w:color w:val="000000" w:themeColor="text1"/>
          <w:sz w:val="24"/>
          <w:szCs w:val="24"/>
        </w:rPr>
        <w:t>0元。</w:t>
      </w:r>
    </w:p>
    <w:p w:rsidR="005F7A32" w:rsidRPr="003569C1" w:rsidRDefault="00D86E4F">
      <w:pPr>
        <w:widowControl/>
        <w:spacing w:line="360" w:lineRule="auto"/>
        <w:ind w:firstLineChars="200" w:firstLine="480"/>
        <w:rPr>
          <w:rFonts w:ascii="宋体" w:hAnsi="宋体" w:cs="宋体"/>
          <w:color w:val="000000" w:themeColor="text1"/>
          <w:sz w:val="24"/>
          <w:szCs w:val="24"/>
        </w:rPr>
      </w:pPr>
      <w:r w:rsidRPr="003569C1">
        <w:rPr>
          <w:rFonts w:ascii="宋体" w:hAnsi="宋体" w:cs="宋体" w:hint="eastAsia"/>
          <w:color w:val="000000" w:themeColor="text1"/>
          <w:sz w:val="24"/>
          <w:szCs w:val="24"/>
        </w:rPr>
        <w:t xml:space="preserve">本次涉及调整的基金名单如下： </w:t>
      </w:r>
    </w:p>
    <w:tbl>
      <w:tblPr>
        <w:tblW w:w="5981" w:type="pct"/>
        <w:tblInd w:w="-856" w:type="dxa"/>
        <w:tblLook w:val="04A0"/>
      </w:tblPr>
      <w:tblGrid>
        <w:gridCol w:w="1311"/>
        <w:gridCol w:w="8883"/>
      </w:tblGrid>
      <w:tr w:rsidR="005668BE" w:rsidRPr="003569C1" w:rsidTr="005668BE">
        <w:trPr>
          <w:trHeight w:val="312"/>
        </w:trPr>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8BE" w:rsidRPr="003569C1" w:rsidRDefault="005668BE" w:rsidP="005668BE">
            <w:pPr>
              <w:widowControl/>
              <w:jc w:val="center"/>
              <w:rPr>
                <w:rFonts w:ascii="宋体" w:hAnsi="宋体" w:cs="宋体"/>
                <w:b/>
                <w:bCs/>
                <w:color w:val="000000"/>
                <w:kern w:val="0"/>
                <w:sz w:val="24"/>
                <w:szCs w:val="24"/>
              </w:rPr>
            </w:pPr>
            <w:r w:rsidRPr="003569C1">
              <w:rPr>
                <w:rFonts w:ascii="宋体" w:hAnsi="宋体" w:cs="宋体" w:hint="eastAsia"/>
                <w:b/>
                <w:bCs/>
                <w:color w:val="000000"/>
                <w:kern w:val="0"/>
                <w:sz w:val="24"/>
                <w:szCs w:val="24"/>
              </w:rPr>
              <w:t>基金代码</w:t>
            </w:r>
          </w:p>
        </w:tc>
        <w:tc>
          <w:tcPr>
            <w:tcW w:w="4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8BE" w:rsidRPr="003569C1" w:rsidRDefault="005668BE" w:rsidP="005668BE">
            <w:pPr>
              <w:widowControl/>
              <w:jc w:val="center"/>
              <w:rPr>
                <w:rFonts w:ascii="宋体" w:hAnsi="宋体" w:cs="宋体"/>
                <w:b/>
                <w:bCs/>
                <w:color w:val="000000"/>
                <w:kern w:val="0"/>
                <w:sz w:val="24"/>
                <w:szCs w:val="24"/>
              </w:rPr>
            </w:pPr>
            <w:r w:rsidRPr="003569C1">
              <w:rPr>
                <w:rFonts w:ascii="宋体" w:hAnsi="宋体" w:cs="宋体" w:hint="eastAsia"/>
                <w:b/>
                <w:bCs/>
                <w:color w:val="000000"/>
                <w:kern w:val="0"/>
                <w:sz w:val="24"/>
                <w:szCs w:val="24"/>
              </w:rPr>
              <w:t>基金全称</w:t>
            </w:r>
          </w:p>
        </w:tc>
      </w:tr>
      <w:tr w:rsidR="005668BE" w:rsidRPr="003569C1" w:rsidTr="005668BE">
        <w:trPr>
          <w:trHeight w:val="312"/>
        </w:trPr>
        <w:tc>
          <w:tcPr>
            <w:tcW w:w="6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68BE" w:rsidRPr="003569C1" w:rsidRDefault="005668BE" w:rsidP="005668BE">
            <w:pPr>
              <w:widowControl/>
              <w:jc w:val="center"/>
              <w:rPr>
                <w:rFonts w:ascii="宋体" w:hAnsi="宋体" w:cs="宋体"/>
                <w:b/>
                <w:bCs/>
                <w:color w:val="000000"/>
                <w:kern w:val="0"/>
                <w:sz w:val="24"/>
                <w:szCs w:val="24"/>
              </w:rPr>
            </w:pPr>
          </w:p>
        </w:tc>
        <w:tc>
          <w:tcPr>
            <w:tcW w:w="43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68BE" w:rsidRPr="003569C1" w:rsidRDefault="005668BE" w:rsidP="005668BE">
            <w:pPr>
              <w:widowControl/>
              <w:jc w:val="center"/>
              <w:rPr>
                <w:rFonts w:ascii="宋体" w:hAnsi="宋体" w:cs="宋体"/>
                <w:b/>
                <w:bCs/>
                <w:color w:val="000000"/>
                <w:kern w:val="0"/>
                <w:sz w:val="24"/>
                <w:szCs w:val="24"/>
              </w:rPr>
            </w:pP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021000</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南方纳斯达克100指数发起式证券投资基金(QDII)</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021022</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南方沪深300交易型开放式指数证券投资基金联接基金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021023</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南方恒生交易型开放式指数证券投资基金联接基金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021116</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南方中证1000交易型开放式指数证券投资基金发起式联接基金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021115</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南方北证50成份指数发起式证券投资基金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021053</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南方恒生香港上市生物科技交易型开放式指数证券投资基金发起式联接基金(QDII)</w:t>
            </w:r>
            <w:r w:rsidRPr="003569C1">
              <w:rPr>
                <w:rFonts w:ascii="宋体" w:hAnsi="宋体" w:cs="宋体"/>
                <w:color w:val="000000"/>
                <w:kern w:val="0"/>
                <w:sz w:val="24"/>
                <w:szCs w:val="24"/>
              </w:rPr>
              <w:t xml:space="preserve"> 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021057</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南方中证新能源交易型开放式指数证券投资基金联接基金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021056</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南方标普中国A股大盘红利低波50交易型开放式指数证券投资基金联接基金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021002</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南方中证全指房地产交易型开放式指数证券投资基金发起式联接基金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021117</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南方中证科创创业50交易型开放式指数证券投资基金联接基金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021021</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南方中证申万有色金属交易型开放式指数证券投资基金发起式联接基金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021004</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南方上海金交易型开放式证券投资基金发起式联接基金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021013</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南方中证银行交易型开放式指数证券投资基金发起式联接基金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021005</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南方富时中国国企开放共赢交易型开放式指数证券投资基金发起式联接基金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021037</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南方中债7-10年国开行债券指数证券投资基金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021029</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南方中证全指证券公司交易型开放式指数证券投资基金联接基金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021032</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南方创业板交易型开放式指数证券投资基金联接基金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021059</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南方中证500交易型开放式指数证券投资基金联接基金(LOF)</w:t>
            </w:r>
            <w:r w:rsidRPr="003569C1">
              <w:rPr>
                <w:rFonts w:ascii="宋体" w:hAnsi="宋体" w:cs="宋体"/>
                <w:color w:val="000000"/>
                <w:kern w:val="0"/>
                <w:sz w:val="24"/>
                <w:szCs w:val="24"/>
              </w:rPr>
              <w:t xml:space="preserve"> 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021006</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南方中证全指医疗保健设备与服务交易型开放式指数证券投资基金发起式联接基金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r w:rsidR="003569C1" w:rsidRPr="003569C1" w:rsidTr="00026EFD">
        <w:trPr>
          <w:trHeight w:val="20"/>
        </w:trPr>
        <w:tc>
          <w:tcPr>
            <w:tcW w:w="643" w:type="pct"/>
            <w:tcBorders>
              <w:top w:val="nil"/>
              <w:left w:val="single" w:sz="4" w:space="0" w:color="auto"/>
              <w:bottom w:val="single" w:sz="4" w:space="0" w:color="auto"/>
              <w:right w:val="single" w:sz="4" w:space="0" w:color="auto"/>
            </w:tcBorders>
            <w:shd w:val="clear" w:color="auto" w:fill="auto"/>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sz w:val="24"/>
                <w:szCs w:val="24"/>
              </w:rPr>
              <w:t>020999</w:t>
            </w:r>
          </w:p>
        </w:tc>
        <w:tc>
          <w:tcPr>
            <w:tcW w:w="4357" w:type="pct"/>
            <w:tcBorders>
              <w:top w:val="nil"/>
              <w:left w:val="nil"/>
              <w:bottom w:val="single" w:sz="4" w:space="0" w:color="auto"/>
              <w:right w:val="single" w:sz="4" w:space="0" w:color="auto"/>
            </w:tcBorders>
            <w:shd w:val="clear" w:color="auto" w:fill="auto"/>
            <w:vAlign w:val="center"/>
            <w:hideMark/>
          </w:tcPr>
          <w:p w:rsidR="003569C1" w:rsidRPr="003569C1" w:rsidRDefault="003569C1" w:rsidP="003569C1">
            <w:pPr>
              <w:widowControl/>
              <w:jc w:val="center"/>
              <w:rPr>
                <w:rFonts w:ascii="宋体" w:hAnsi="宋体" w:cs="宋体"/>
                <w:color w:val="000000"/>
                <w:kern w:val="0"/>
                <w:sz w:val="24"/>
                <w:szCs w:val="24"/>
              </w:rPr>
            </w:pPr>
            <w:r w:rsidRPr="003569C1">
              <w:rPr>
                <w:rFonts w:ascii="宋体" w:hAnsi="宋体" w:cs="宋体" w:hint="eastAsia"/>
                <w:color w:val="000000"/>
                <w:kern w:val="0"/>
                <w:sz w:val="24"/>
                <w:szCs w:val="24"/>
              </w:rPr>
              <w:t>南方中证机器人指数发起式证券投资基金</w:t>
            </w:r>
            <w:r w:rsidRPr="003569C1">
              <w:rPr>
                <w:rFonts w:ascii="宋体" w:hAnsi="宋体" w:cs="宋体"/>
                <w:color w:val="000000"/>
                <w:kern w:val="0"/>
                <w:sz w:val="24"/>
                <w:szCs w:val="24"/>
              </w:rPr>
              <w:t>I</w:t>
            </w:r>
            <w:r w:rsidRPr="003569C1">
              <w:rPr>
                <w:rFonts w:ascii="宋体" w:hAnsi="宋体" w:cs="宋体" w:hint="eastAsia"/>
                <w:color w:val="000000"/>
                <w:kern w:val="0"/>
                <w:sz w:val="24"/>
                <w:szCs w:val="24"/>
              </w:rPr>
              <w:t>类</w:t>
            </w:r>
          </w:p>
        </w:tc>
      </w:tr>
    </w:tbl>
    <w:p w:rsidR="003E5D60" w:rsidRPr="003569C1" w:rsidRDefault="003E5D60" w:rsidP="00D86E4F">
      <w:pPr>
        <w:widowControl/>
        <w:spacing w:line="360" w:lineRule="auto"/>
        <w:jc w:val="left"/>
        <w:rPr>
          <w:rFonts w:ascii="宋体" w:hAnsi="宋体" w:cs="宋体"/>
          <w:sz w:val="24"/>
          <w:szCs w:val="24"/>
        </w:rPr>
      </w:pPr>
    </w:p>
    <w:p w:rsidR="00CD273E" w:rsidRPr="003569C1" w:rsidRDefault="00D86E4F" w:rsidP="009D21C7">
      <w:pPr>
        <w:widowControl/>
        <w:spacing w:line="360" w:lineRule="auto"/>
        <w:ind w:firstLineChars="200" w:firstLine="482"/>
        <w:jc w:val="left"/>
        <w:rPr>
          <w:rFonts w:ascii="宋体" w:hAnsi="宋体" w:cs="宋体"/>
          <w:b/>
          <w:color w:val="000000" w:themeColor="text1"/>
          <w:sz w:val="24"/>
          <w:szCs w:val="24"/>
        </w:rPr>
      </w:pPr>
      <w:r w:rsidRPr="003569C1">
        <w:rPr>
          <w:rFonts w:ascii="宋体" w:hAnsi="宋体" w:cs="宋体" w:hint="eastAsia"/>
          <w:b/>
          <w:color w:val="000000" w:themeColor="text1"/>
          <w:sz w:val="24"/>
          <w:szCs w:val="24"/>
        </w:rPr>
        <w:lastRenderedPageBreak/>
        <w:t>二</w:t>
      </w:r>
      <w:r w:rsidR="009D21C7" w:rsidRPr="003569C1">
        <w:rPr>
          <w:rFonts w:ascii="宋体" w:hAnsi="宋体" w:cs="宋体" w:hint="eastAsia"/>
          <w:b/>
          <w:color w:val="000000" w:themeColor="text1"/>
          <w:sz w:val="24"/>
          <w:szCs w:val="24"/>
        </w:rPr>
        <w:t>、</w:t>
      </w:r>
      <w:r w:rsidR="00202EBB" w:rsidRPr="003569C1">
        <w:rPr>
          <w:rFonts w:ascii="宋体" w:hAnsi="宋体" w:cs="宋体"/>
          <w:b/>
          <w:color w:val="000000" w:themeColor="text1"/>
          <w:sz w:val="24"/>
          <w:szCs w:val="24"/>
        </w:rPr>
        <w:t>投资人可通过以下途径咨询有关详情</w:t>
      </w:r>
    </w:p>
    <w:p w:rsidR="00CD273E" w:rsidRPr="003569C1" w:rsidRDefault="00202EBB" w:rsidP="009D21C7">
      <w:pPr>
        <w:widowControl/>
        <w:spacing w:line="360" w:lineRule="auto"/>
        <w:ind w:firstLineChars="200" w:firstLine="480"/>
        <w:jc w:val="left"/>
        <w:rPr>
          <w:rFonts w:ascii="宋体" w:hAnsi="宋体" w:cs="宋体"/>
          <w:color w:val="000000" w:themeColor="text1"/>
          <w:sz w:val="24"/>
          <w:szCs w:val="24"/>
        </w:rPr>
      </w:pPr>
      <w:r w:rsidRPr="003569C1">
        <w:rPr>
          <w:rFonts w:ascii="宋体" w:hAnsi="宋体" w:cs="宋体" w:hint="eastAsia"/>
          <w:color w:val="000000" w:themeColor="text1"/>
          <w:sz w:val="24"/>
          <w:szCs w:val="24"/>
        </w:rPr>
        <w:t>南方基金客服电话：400-889-8899</w:t>
      </w:r>
    </w:p>
    <w:p w:rsidR="00683961" w:rsidRPr="003569C1" w:rsidRDefault="00202EBB" w:rsidP="009D21C7">
      <w:pPr>
        <w:widowControl/>
        <w:spacing w:line="360" w:lineRule="auto"/>
        <w:ind w:firstLineChars="200" w:firstLine="480"/>
        <w:jc w:val="left"/>
        <w:rPr>
          <w:rFonts w:ascii="宋体" w:hAnsi="宋体" w:cs="宋体"/>
          <w:color w:val="000000" w:themeColor="text1"/>
          <w:sz w:val="24"/>
          <w:szCs w:val="24"/>
        </w:rPr>
      </w:pPr>
      <w:r w:rsidRPr="003569C1">
        <w:rPr>
          <w:rFonts w:ascii="宋体" w:hAnsi="宋体" w:cs="宋体" w:hint="eastAsia"/>
          <w:color w:val="000000" w:themeColor="text1"/>
          <w:sz w:val="24"/>
          <w:szCs w:val="24"/>
        </w:rPr>
        <w:t>南方基金网址：</w:t>
      </w:r>
      <w:hyperlink r:id="rId7" w:history="1">
        <w:r w:rsidR="00683961" w:rsidRPr="003569C1">
          <w:rPr>
            <w:rFonts w:ascii="宋体" w:hAnsi="宋体" w:cs="宋体" w:hint="eastAsia"/>
            <w:color w:val="000000" w:themeColor="text1"/>
            <w:sz w:val="24"/>
            <w:szCs w:val="24"/>
          </w:rPr>
          <w:t>www.nffund.com</w:t>
        </w:r>
      </w:hyperlink>
    </w:p>
    <w:p w:rsidR="00B42682" w:rsidRPr="003569C1" w:rsidRDefault="00B42682" w:rsidP="009D21C7">
      <w:pPr>
        <w:widowControl/>
        <w:spacing w:line="360" w:lineRule="auto"/>
        <w:ind w:firstLineChars="200" w:firstLine="480"/>
        <w:jc w:val="left"/>
        <w:rPr>
          <w:rFonts w:ascii="宋体" w:hAnsi="宋体" w:cs="宋体"/>
          <w:color w:val="000000" w:themeColor="text1"/>
          <w:sz w:val="24"/>
          <w:szCs w:val="24"/>
        </w:rPr>
      </w:pPr>
    </w:p>
    <w:p w:rsidR="00CD273E" w:rsidRPr="003569C1" w:rsidRDefault="00D86E4F" w:rsidP="00A961BE">
      <w:pPr>
        <w:widowControl/>
        <w:spacing w:line="360" w:lineRule="auto"/>
        <w:ind w:firstLineChars="200" w:firstLine="482"/>
        <w:rPr>
          <w:rFonts w:ascii="宋体" w:hAnsi="宋体" w:cs="宋体"/>
          <w:b/>
          <w:color w:val="000000" w:themeColor="text1"/>
          <w:sz w:val="24"/>
          <w:szCs w:val="24"/>
        </w:rPr>
      </w:pPr>
      <w:r w:rsidRPr="003569C1">
        <w:rPr>
          <w:rFonts w:ascii="宋体" w:hAnsi="宋体" w:cs="宋体" w:hint="eastAsia"/>
          <w:b/>
          <w:color w:val="000000" w:themeColor="text1"/>
          <w:sz w:val="24"/>
          <w:szCs w:val="24"/>
        </w:rPr>
        <w:t>三</w:t>
      </w:r>
      <w:r w:rsidR="00202EBB" w:rsidRPr="003569C1">
        <w:rPr>
          <w:rFonts w:ascii="宋体" w:hAnsi="宋体" w:cs="宋体"/>
          <w:b/>
          <w:color w:val="000000" w:themeColor="text1"/>
          <w:sz w:val="24"/>
          <w:szCs w:val="24"/>
        </w:rPr>
        <w:t>、重要提示</w:t>
      </w:r>
    </w:p>
    <w:p w:rsidR="002F57FC" w:rsidRPr="003569C1" w:rsidRDefault="00A32B99" w:rsidP="002F57FC">
      <w:pPr>
        <w:widowControl/>
        <w:spacing w:line="360" w:lineRule="auto"/>
        <w:ind w:firstLine="420"/>
        <w:jc w:val="left"/>
        <w:rPr>
          <w:rFonts w:ascii="宋体" w:hAnsi="宋体" w:cs="宋体"/>
          <w:sz w:val="24"/>
          <w:szCs w:val="24"/>
        </w:rPr>
      </w:pPr>
      <w:r w:rsidRPr="003569C1">
        <w:rPr>
          <w:rFonts w:ascii="宋体" w:hAnsi="宋体" w:cs="宋体" w:hint="eastAsia"/>
          <w:sz w:val="24"/>
          <w:szCs w:val="24"/>
        </w:rPr>
        <w:t>1、本公告仅对调整</w:t>
      </w:r>
      <w:r w:rsidR="00672BE7">
        <w:rPr>
          <w:rFonts w:ascii="宋体" w:hAnsi="宋体" w:cs="宋体" w:hint="eastAsia"/>
          <w:sz w:val="24"/>
          <w:szCs w:val="24"/>
        </w:rPr>
        <w:t>上述基金在</w:t>
      </w:r>
      <w:r w:rsidRPr="003569C1">
        <w:rPr>
          <w:rFonts w:ascii="宋体" w:hAnsi="宋体" w:cs="宋体" w:hint="eastAsia"/>
          <w:sz w:val="24"/>
          <w:szCs w:val="24"/>
        </w:rPr>
        <w:t>本公司直销机构申购</w:t>
      </w:r>
      <w:r w:rsidR="00A47879">
        <w:rPr>
          <w:rFonts w:ascii="宋体" w:hAnsi="宋体" w:cs="宋体" w:hint="eastAsia"/>
          <w:sz w:val="24"/>
          <w:szCs w:val="24"/>
        </w:rPr>
        <w:t>和定投业务</w:t>
      </w:r>
      <w:r w:rsidRPr="003569C1">
        <w:rPr>
          <w:rFonts w:ascii="宋体" w:hAnsi="宋体" w:cs="宋体" w:hint="eastAsia"/>
          <w:sz w:val="24"/>
          <w:szCs w:val="24"/>
        </w:rPr>
        <w:t>最低金额的有关事项予以说明。投资人欲了解上述基金详细情况，请阅读基金的相关法律文件。</w:t>
      </w:r>
    </w:p>
    <w:p w:rsidR="002F57FC" w:rsidRPr="003569C1" w:rsidRDefault="00A32B99" w:rsidP="002F57FC">
      <w:pPr>
        <w:widowControl/>
        <w:spacing w:line="360" w:lineRule="auto"/>
        <w:ind w:firstLine="420"/>
        <w:jc w:val="left"/>
        <w:rPr>
          <w:rFonts w:ascii="宋体" w:hAnsi="宋体" w:cs="宋体"/>
          <w:sz w:val="24"/>
          <w:szCs w:val="24"/>
        </w:rPr>
      </w:pPr>
      <w:r w:rsidRPr="003569C1">
        <w:rPr>
          <w:rFonts w:ascii="宋体" w:hAnsi="宋体" w:cs="宋体" w:hint="eastAsia"/>
          <w:sz w:val="24"/>
          <w:szCs w:val="24"/>
        </w:rPr>
        <w:t>2、</w:t>
      </w:r>
      <w:r w:rsidR="003569C1" w:rsidRPr="003569C1">
        <w:rPr>
          <w:rFonts w:ascii="宋体" w:hAnsi="宋体" w:cs="宋体" w:hint="eastAsia"/>
          <w:color w:val="000000" w:themeColor="text1"/>
          <w:sz w:val="24"/>
          <w:szCs w:val="24"/>
        </w:rPr>
        <w:t>上述基金转换业务开通情况，详见相关基金法律文件及公告。</w:t>
      </w:r>
    </w:p>
    <w:p w:rsidR="00A32B99" w:rsidRPr="003569C1" w:rsidRDefault="002F57FC" w:rsidP="00A32B99">
      <w:pPr>
        <w:widowControl/>
        <w:spacing w:line="360" w:lineRule="auto"/>
        <w:ind w:firstLine="420"/>
        <w:jc w:val="left"/>
        <w:rPr>
          <w:rFonts w:ascii="宋体" w:hAnsi="宋体" w:cs="宋体"/>
          <w:sz w:val="24"/>
          <w:szCs w:val="24"/>
        </w:rPr>
      </w:pPr>
      <w:r w:rsidRPr="003569C1">
        <w:rPr>
          <w:rFonts w:ascii="宋体" w:hAnsi="宋体" w:cs="宋体"/>
          <w:sz w:val="24"/>
          <w:szCs w:val="24"/>
        </w:rPr>
        <w:t>3</w:t>
      </w:r>
      <w:r w:rsidRPr="003569C1">
        <w:rPr>
          <w:rFonts w:ascii="宋体" w:hAnsi="宋体" w:cs="宋体" w:hint="eastAsia"/>
          <w:sz w:val="24"/>
          <w:szCs w:val="24"/>
        </w:rPr>
        <w:t>、</w:t>
      </w:r>
      <w:r w:rsidR="00A32B99" w:rsidRPr="003569C1">
        <w:rPr>
          <w:rFonts w:ascii="宋体" w:hAnsi="宋体" w:cs="宋体" w:hint="eastAsia"/>
          <w:sz w:val="24"/>
          <w:szCs w:val="24"/>
        </w:rPr>
        <w:t>投资人可访问本公司网站(www.nffund.com)或拨打客户服务电话（400－889－8899）咨询相关情况。</w:t>
      </w:r>
    </w:p>
    <w:p w:rsidR="00D86E4F" w:rsidRPr="003569C1" w:rsidRDefault="00A32B99" w:rsidP="00D86E4F">
      <w:pPr>
        <w:widowControl/>
        <w:spacing w:line="360" w:lineRule="auto"/>
        <w:ind w:firstLine="420"/>
        <w:jc w:val="left"/>
        <w:rPr>
          <w:rFonts w:ascii="宋体" w:hAnsi="宋体" w:cs="宋体"/>
          <w:sz w:val="24"/>
          <w:szCs w:val="24"/>
        </w:rPr>
      </w:pPr>
      <w:r w:rsidRPr="003569C1">
        <w:rPr>
          <w:rFonts w:ascii="宋体" w:hAnsi="宋体" w:cs="宋体" w:hint="eastAsia"/>
          <w:sz w:val="24"/>
          <w:szCs w:val="24"/>
        </w:rPr>
        <w:t>风险提示：</w:t>
      </w:r>
      <w:r w:rsidR="00D86E4F" w:rsidRPr="003569C1">
        <w:rPr>
          <w:rFonts w:ascii="宋体" w:hAnsi="宋体" w:cs="宋体" w:hint="eastAsia"/>
          <w:sz w:val="24"/>
          <w:szCs w:val="24"/>
        </w:rPr>
        <w:t>基金管理人依照恪尽职守、诚实信用、谨慎勤勉的原则管理和运用基金资产，但不保证基金一定盈利，也不保证最低收益。基金的过往业绩及其净值高低并不预示其未来业绩表现；基金管理人管理的其他基金的业绩也不构成对基金业绩表现的保证。投资有风险，敬请投资人认真阅读基金的相关法律文件，并选择适合自身风险承受能力的投资品种进行投资。</w:t>
      </w:r>
    </w:p>
    <w:p w:rsidR="00CD273E" w:rsidRPr="003569C1" w:rsidRDefault="00D86E4F" w:rsidP="00D86E4F">
      <w:pPr>
        <w:widowControl/>
        <w:spacing w:line="360" w:lineRule="auto"/>
        <w:ind w:firstLine="420"/>
        <w:jc w:val="left"/>
        <w:rPr>
          <w:rFonts w:ascii="宋体" w:hAnsi="宋体" w:cs="宋体"/>
          <w:color w:val="000000" w:themeColor="text1"/>
          <w:sz w:val="24"/>
          <w:szCs w:val="24"/>
        </w:rPr>
      </w:pPr>
      <w:r w:rsidRPr="003569C1">
        <w:rPr>
          <w:rFonts w:ascii="宋体" w:hAnsi="宋体" w:cs="宋体" w:hint="eastAsia"/>
          <w:sz w:val="24"/>
          <w:szCs w:val="24"/>
        </w:rPr>
        <w:t>特此公告</w:t>
      </w:r>
    </w:p>
    <w:p w:rsidR="00CD273E" w:rsidRPr="003569C1" w:rsidRDefault="00CD273E">
      <w:pPr>
        <w:widowControl/>
        <w:spacing w:before="100" w:beforeAutospacing="1" w:after="100" w:afterAutospacing="1"/>
        <w:jc w:val="left"/>
        <w:rPr>
          <w:rFonts w:ascii="宋体" w:hAnsi="宋体" w:cs="宋体"/>
          <w:color w:val="000000" w:themeColor="text1"/>
          <w:sz w:val="24"/>
          <w:szCs w:val="24"/>
        </w:rPr>
      </w:pPr>
    </w:p>
    <w:p w:rsidR="00CD273E" w:rsidRPr="003569C1" w:rsidRDefault="00202EBB">
      <w:pPr>
        <w:widowControl/>
        <w:spacing w:line="360" w:lineRule="auto"/>
        <w:jc w:val="right"/>
        <w:rPr>
          <w:rFonts w:ascii="宋体" w:hAnsi="宋体" w:cs="宋体"/>
          <w:color w:val="000000" w:themeColor="text1"/>
          <w:sz w:val="24"/>
          <w:szCs w:val="24"/>
        </w:rPr>
      </w:pPr>
      <w:r w:rsidRPr="003569C1">
        <w:rPr>
          <w:rFonts w:ascii="宋体" w:hAnsi="宋体" w:cs="宋体" w:hint="eastAsia"/>
          <w:color w:val="000000" w:themeColor="text1"/>
          <w:sz w:val="24"/>
          <w:szCs w:val="24"/>
        </w:rPr>
        <w:t>南方基金管理股份有限公司</w:t>
      </w:r>
    </w:p>
    <w:p w:rsidR="00CD273E" w:rsidRPr="003569C1" w:rsidRDefault="00120BD4" w:rsidP="00580458">
      <w:pPr>
        <w:widowControl/>
        <w:spacing w:line="360" w:lineRule="auto"/>
        <w:jc w:val="right"/>
        <w:rPr>
          <w:rFonts w:ascii="宋体" w:hAnsi="宋体" w:cs="宋体"/>
          <w:color w:val="000000" w:themeColor="text1"/>
          <w:sz w:val="24"/>
          <w:szCs w:val="24"/>
        </w:rPr>
      </w:pPr>
      <w:r w:rsidRPr="003569C1">
        <w:rPr>
          <w:rFonts w:ascii="宋体" w:hAnsi="宋体" w:cs="宋体"/>
          <w:color w:val="000000" w:themeColor="text1"/>
          <w:sz w:val="24"/>
          <w:szCs w:val="24"/>
        </w:rPr>
        <w:t>202</w:t>
      </w:r>
      <w:r w:rsidR="00A32B99" w:rsidRPr="003569C1">
        <w:rPr>
          <w:rFonts w:ascii="宋体" w:hAnsi="宋体" w:cs="宋体"/>
          <w:color w:val="000000" w:themeColor="text1"/>
          <w:sz w:val="24"/>
          <w:szCs w:val="24"/>
        </w:rPr>
        <w:t>4</w:t>
      </w:r>
      <w:r w:rsidRPr="003569C1">
        <w:rPr>
          <w:rFonts w:ascii="宋体" w:hAnsi="宋体" w:cs="宋体"/>
          <w:color w:val="000000" w:themeColor="text1"/>
          <w:sz w:val="24"/>
          <w:szCs w:val="24"/>
        </w:rPr>
        <w:t>年</w:t>
      </w:r>
      <w:r w:rsidR="00B42682" w:rsidRPr="003569C1">
        <w:rPr>
          <w:rFonts w:ascii="宋体" w:hAnsi="宋体" w:cs="宋体"/>
          <w:color w:val="000000" w:themeColor="text1"/>
          <w:sz w:val="24"/>
          <w:szCs w:val="24"/>
        </w:rPr>
        <w:t>4</w:t>
      </w:r>
      <w:r w:rsidRPr="003569C1">
        <w:rPr>
          <w:rFonts w:ascii="宋体" w:hAnsi="宋体" w:cs="宋体"/>
          <w:color w:val="000000" w:themeColor="text1"/>
          <w:sz w:val="24"/>
          <w:szCs w:val="24"/>
        </w:rPr>
        <w:t>月</w:t>
      </w:r>
      <w:r w:rsidR="00635F43" w:rsidRPr="003569C1">
        <w:rPr>
          <w:rFonts w:ascii="宋体" w:hAnsi="宋体" w:cs="宋体"/>
          <w:color w:val="000000" w:themeColor="text1"/>
          <w:sz w:val="24"/>
          <w:szCs w:val="24"/>
        </w:rPr>
        <w:t>23</w:t>
      </w:r>
      <w:r w:rsidR="00202EBB" w:rsidRPr="003569C1">
        <w:rPr>
          <w:rFonts w:ascii="宋体" w:hAnsi="宋体" w:cs="宋体"/>
          <w:color w:val="000000" w:themeColor="text1"/>
          <w:sz w:val="24"/>
          <w:szCs w:val="24"/>
        </w:rPr>
        <w:t>日</w:t>
      </w:r>
    </w:p>
    <w:sectPr w:rsidR="00CD273E" w:rsidRPr="003569C1" w:rsidSect="00E611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56" w:rsidRDefault="00502B56" w:rsidP="006162BB">
      <w:r>
        <w:separator/>
      </w:r>
    </w:p>
  </w:endnote>
  <w:endnote w:type="continuationSeparator" w:id="0">
    <w:p w:rsidR="00502B56" w:rsidRDefault="00502B56" w:rsidP="00616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56" w:rsidRDefault="00502B56" w:rsidP="006162BB">
      <w:r>
        <w:separator/>
      </w:r>
    </w:p>
  </w:footnote>
  <w:footnote w:type="continuationSeparator" w:id="0">
    <w:p w:rsidR="00502B56" w:rsidRDefault="00502B56" w:rsidP="00616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770"/>
    <w:rsid w:val="0002306D"/>
    <w:rsid w:val="00046F81"/>
    <w:rsid w:val="00056385"/>
    <w:rsid w:val="00070A57"/>
    <w:rsid w:val="0007135B"/>
    <w:rsid w:val="00073103"/>
    <w:rsid w:val="000836C7"/>
    <w:rsid w:val="00086D49"/>
    <w:rsid w:val="00092C79"/>
    <w:rsid w:val="000A4C3F"/>
    <w:rsid w:val="000B49C1"/>
    <w:rsid w:val="000B7CD5"/>
    <w:rsid w:val="000C158F"/>
    <w:rsid w:val="000D3AB9"/>
    <w:rsid w:val="000D3F1F"/>
    <w:rsid w:val="00105537"/>
    <w:rsid w:val="0010641D"/>
    <w:rsid w:val="00111FC0"/>
    <w:rsid w:val="00120BD4"/>
    <w:rsid w:val="0014258A"/>
    <w:rsid w:val="00147385"/>
    <w:rsid w:val="00153B5D"/>
    <w:rsid w:val="00183960"/>
    <w:rsid w:val="001A6805"/>
    <w:rsid w:val="001C329A"/>
    <w:rsid w:val="001C3982"/>
    <w:rsid w:val="001D01FF"/>
    <w:rsid w:val="001D46F1"/>
    <w:rsid w:val="001D766A"/>
    <w:rsid w:val="00202EBB"/>
    <w:rsid w:val="00203664"/>
    <w:rsid w:val="00206A6A"/>
    <w:rsid w:val="00221F6E"/>
    <w:rsid w:val="0022362F"/>
    <w:rsid w:val="002250E3"/>
    <w:rsid w:val="00233BED"/>
    <w:rsid w:val="00246D84"/>
    <w:rsid w:val="00250314"/>
    <w:rsid w:val="002710F9"/>
    <w:rsid w:val="0027162A"/>
    <w:rsid w:val="0028248C"/>
    <w:rsid w:val="00283584"/>
    <w:rsid w:val="0028575D"/>
    <w:rsid w:val="00287F4C"/>
    <w:rsid w:val="002973DD"/>
    <w:rsid w:val="002A37A9"/>
    <w:rsid w:val="002B024E"/>
    <w:rsid w:val="002F09A7"/>
    <w:rsid w:val="002F57FC"/>
    <w:rsid w:val="00301845"/>
    <w:rsid w:val="003156C8"/>
    <w:rsid w:val="0032019B"/>
    <w:rsid w:val="00330AE5"/>
    <w:rsid w:val="00332606"/>
    <w:rsid w:val="003402D7"/>
    <w:rsid w:val="00350048"/>
    <w:rsid w:val="00350A17"/>
    <w:rsid w:val="0035116F"/>
    <w:rsid w:val="003569C1"/>
    <w:rsid w:val="003570D0"/>
    <w:rsid w:val="0036632D"/>
    <w:rsid w:val="003755DD"/>
    <w:rsid w:val="003952A6"/>
    <w:rsid w:val="003C0675"/>
    <w:rsid w:val="003C4762"/>
    <w:rsid w:val="003D46E2"/>
    <w:rsid w:val="003E5D60"/>
    <w:rsid w:val="003F45E4"/>
    <w:rsid w:val="003F5D44"/>
    <w:rsid w:val="003F637E"/>
    <w:rsid w:val="00417312"/>
    <w:rsid w:val="004175CA"/>
    <w:rsid w:val="004244FA"/>
    <w:rsid w:val="004277F9"/>
    <w:rsid w:val="00443258"/>
    <w:rsid w:val="00446214"/>
    <w:rsid w:val="00450E8E"/>
    <w:rsid w:val="00454E20"/>
    <w:rsid w:val="0045639B"/>
    <w:rsid w:val="004626B4"/>
    <w:rsid w:val="00474FE3"/>
    <w:rsid w:val="00481FD9"/>
    <w:rsid w:val="00493406"/>
    <w:rsid w:val="004A1806"/>
    <w:rsid w:val="004A2CB5"/>
    <w:rsid w:val="004C2E07"/>
    <w:rsid w:val="004F413C"/>
    <w:rsid w:val="00502B56"/>
    <w:rsid w:val="005236D1"/>
    <w:rsid w:val="0053292E"/>
    <w:rsid w:val="005467D6"/>
    <w:rsid w:val="0054775A"/>
    <w:rsid w:val="0055711D"/>
    <w:rsid w:val="00565A99"/>
    <w:rsid w:val="005668BE"/>
    <w:rsid w:val="00573B37"/>
    <w:rsid w:val="005775CD"/>
    <w:rsid w:val="00580458"/>
    <w:rsid w:val="005A02EA"/>
    <w:rsid w:val="005B2264"/>
    <w:rsid w:val="005D4770"/>
    <w:rsid w:val="005E6DA8"/>
    <w:rsid w:val="005F7A32"/>
    <w:rsid w:val="006162BB"/>
    <w:rsid w:val="00635F43"/>
    <w:rsid w:val="00641499"/>
    <w:rsid w:val="0064360A"/>
    <w:rsid w:val="00672BE7"/>
    <w:rsid w:val="00683961"/>
    <w:rsid w:val="006905AA"/>
    <w:rsid w:val="00694017"/>
    <w:rsid w:val="006A6CB8"/>
    <w:rsid w:val="006B43F8"/>
    <w:rsid w:val="006D33A4"/>
    <w:rsid w:val="006D6AE9"/>
    <w:rsid w:val="006E7182"/>
    <w:rsid w:val="006E7AF4"/>
    <w:rsid w:val="006F1D95"/>
    <w:rsid w:val="00701932"/>
    <w:rsid w:val="00763BF3"/>
    <w:rsid w:val="00781005"/>
    <w:rsid w:val="00787A85"/>
    <w:rsid w:val="0079605B"/>
    <w:rsid w:val="007B139F"/>
    <w:rsid w:val="007B159A"/>
    <w:rsid w:val="007B4B83"/>
    <w:rsid w:val="00825B4E"/>
    <w:rsid w:val="00845571"/>
    <w:rsid w:val="00847899"/>
    <w:rsid w:val="00862429"/>
    <w:rsid w:val="008627AE"/>
    <w:rsid w:val="008803EB"/>
    <w:rsid w:val="008B2986"/>
    <w:rsid w:val="008B2AFD"/>
    <w:rsid w:val="008C3E2D"/>
    <w:rsid w:val="008D0C85"/>
    <w:rsid w:val="008E101A"/>
    <w:rsid w:val="008E79A2"/>
    <w:rsid w:val="00906713"/>
    <w:rsid w:val="00913234"/>
    <w:rsid w:val="00914AB0"/>
    <w:rsid w:val="009176F9"/>
    <w:rsid w:val="00921876"/>
    <w:rsid w:val="00921BE1"/>
    <w:rsid w:val="009247A3"/>
    <w:rsid w:val="0092757F"/>
    <w:rsid w:val="009372AD"/>
    <w:rsid w:val="00941D2C"/>
    <w:rsid w:val="00955965"/>
    <w:rsid w:val="00955EB7"/>
    <w:rsid w:val="009644ED"/>
    <w:rsid w:val="0096728E"/>
    <w:rsid w:val="00981F3F"/>
    <w:rsid w:val="00990E74"/>
    <w:rsid w:val="009B109D"/>
    <w:rsid w:val="009C57D6"/>
    <w:rsid w:val="009D0DA4"/>
    <w:rsid w:val="009D21C7"/>
    <w:rsid w:val="009D4ED3"/>
    <w:rsid w:val="009D516C"/>
    <w:rsid w:val="009E62B5"/>
    <w:rsid w:val="009E6818"/>
    <w:rsid w:val="009F5799"/>
    <w:rsid w:val="00A015C8"/>
    <w:rsid w:val="00A05AD9"/>
    <w:rsid w:val="00A23A99"/>
    <w:rsid w:val="00A32B99"/>
    <w:rsid w:val="00A47879"/>
    <w:rsid w:val="00A56F19"/>
    <w:rsid w:val="00A961BE"/>
    <w:rsid w:val="00A96D42"/>
    <w:rsid w:val="00AA4EA4"/>
    <w:rsid w:val="00AB67DE"/>
    <w:rsid w:val="00AD6087"/>
    <w:rsid w:val="00AE63E5"/>
    <w:rsid w:val="00AE64B9"/>
    <w:rsid w:val="00B104BA"/>
    <w:rsid w:val="00B2517D"/>
    <w:rsid w:val="00B33415"/>
    <w:rsid w:val="00B3370F"/>
    <w:rsid w:val="00B42682"/>
    <w:rsid w:val="00B52B37"/>
    <w:rsid w:val="00B55E7C"/>
    <w:rsid w:val="00B64E4E"/>
    <w:rsid w:val="00B727D6"/>
    <w:rsid w:val="00B9461D"/>
    <w:rsid w:val="00BA278B"/>
    <w:rsid w:val="00BC29D3"/>
    <w:rsid w:val="00BC6384"/>
    <w:rsid w:val="00BD47AB"/>
    <w:rsid w:val="00BE0106"/>
    <w:rsid w:val="00BE0A6A"/>
    <w:rsid w:val="00BE1953"/>
    <w:rsid w:val="00BF2421"/>
    <w:rsid w:val="00C11E07"/>
    <w:rsid w:val="00C2466A"/>
    <w:rsid w:val="00C3364F"/>
    <w:rsid w:val="00C426AB"/>
    <w:rsid w:val="00C44826"/>
    <w:rsid w:val="00C44F81"/>
    <w:rsid w:val="00C53421"/>
    <w:rsid w:val="00C56C55"/>
    <w:rsid w:val="00C646A3"/>
    <w:rsid w:val="00C708E5"/>
    <w:rsid w:val="00C76D7F"/>
    <w:rsid w:val="00C86039"/>
    <w:rsid w:val="00C905E0"/>
    <w:rsid w:val="00CA401B"/>
    <w:rsid w:val="00CA6CBD"/>
    <w:rsid w:val="00CC39A4"/>
    <w:rsid w:val="00CC5A0C"/>
    <w:rsid w:val="00CC74EB"/>
    <w:rsid w:val="00CD273E"/>
    <w:rsid w:val="00CE0EEB"/>
    <w:rsid w:val="00CE2F9A"/>
    <w:rsid w:val="00D04B6E"/>
    <w:rsid w:val="00D24C0E"/>
    <w:rsid w:val="00D315C2"/>
    <w:rsid w:val="00D32206"/>
    <w:rsid w:val="00D3298B"/>
    <w:rsid w:val="00D55BB7"/>
    <w:rsid w:val="00D579A5"/>
    <w:rsid w:val="00D61E95"/>
    <w:rsid w:val="00D640BA"/>
    <w:rsid w:val="00D80E4B"/>
    <w:rsid w:val="00D86E4F"/>
    <w:rsid w:val="00D91ACE"/>
    <w:rsid w:val="00D938E2"/>
    <w:rsid w:val="00D94B57"/>
    <w:rsid w:val="00D95DA1"/>
    <w:rsid w:val="00DB2872"/>
    <w:rsid w:val="00DC5243"/>
    <w:rsid w:val="00DD49DD"/>
    <w:rsid w:val="00DD68D5"/>
    <w:rsid w:val="00DF0ACD"/>
    <w:rsid w:val="00E07BC2"/>
    <w:rsid w:val="00E11002"/>
    <w:rsid w:val="00E1429E"/>
    <w:rsid w:val="00E2127C"/>
    <w:rsid w:val="00E22C6C"/>
    <w:rsid w:val="00E3153B"/>
    <w:rsid w:val="00E3209A"/>
    <w:rsid w:val="00E33398"/>
    <w:rsid w:val="00E611DC"/>
    <w:rsid w:val="00E87E5C"/>
    <w:rsid w:val="00E9550B"/>
    <w:rsid w:val="00EA299F"/>
    <w:rsid w:val="00EC2ABC"/>
    <w:rsid w:val="00ED1704"/>
    <w:rsid w:val="00ED6EA1"/>
    <w:rsid w:val="00EE748A"/>
    <w:rsid w:val="00F002E6"/>
    <w:rsid w:val="00F045D3"/>
    <w:rsid w:val="00F0720D"/>
    <w:rsid w:val="00F1239E"/>
    <w:rsid w:val="00F21B71"/>
    <w:rsid w:val="00F25CA2"/>
    <w:rsid w:val="00F40960"/>
    <w:rsid w:val="00F44C4C"/>
    <w:rsid w:val="00F466A6"/>
    <w:rsid w:val="00F678E5"/>
    <w:rsid w:val="00F760CC"/>
    <w:rsid w:val="00F87DEB"/>
    <w:rsid w:val="00FA4FDD"/>
    <w:rsid w:val="00FB3620"/>
    <w:rsid w:val="00FB5E7F"/>
    <w:rsid w:val="00FD3121"/>
    <w:rsid w:val="00FE4EFF"/>
    <w:rsid w:val="09CD4EAF"/>
    <w:rsid w:val="243F28AF"/>
    <w:rsid w:val="35256C4B"/>
    <w:rsid w:val="4BFB1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D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611DC"/>
    <w:pPr>
      <w:jc w:val="left"/>
    </w:pPr>
  </w:style>
  <w:style w:type="paragraph" w:styleId="a4">
    <w:name w:val="Balloon Text"/>
    <w:basedOn w:val="a"/>
    <w:link w:val="Char0"/>
    <w:uiPriority w:val="99"/>
    <w:semiHidden/>
    <w:unhideWhenUsed/>
    <w:qFormat/>
    <w:rsid w:val="00E611DC"/>
    <w:rPr>
      <w:sz w:val="18"/>
      <w:szCs w:val="18"/>
    </w:rPr>
  </w:style>
  <w:style w:type="paragraph" w:styleId="a5">
    <w:name w:val="footer"/>
    <w:basedOn w:val="a"/>
    <w:link w:val="Char1"/>
    <w:uiPriority w:val="99"/>
    <w:unhideWhenUsed/>
    <w:qFormat/>
    <w:rsid w:val="00E611D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611D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E611DC"/>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E611DC"/>
    <w:rPr>
      <w:b/>
      <w:bCs/>
    </w:rPr>
  </w:style>
  <w:style w:type="table" w:styleId="a9">
    <w:name w:val="Table Grid"/>
    <w:basedOn w:val="a1"/>
    <w:uiPriority w:val="59"/>
    <w:qFormat/>
    <w:rsid w:val="00E61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E611DC"/>
    <w:rPr>
      <w:color w:val="333333"/>
      <w:u w:val="none"/>
    </w:rPr>
  </w:style>
  <w:style w:type="character" w:styleId="ab">
    <w:name w:val="annotation reference"/>
    <w:basedOn w:val="a0"/>
    <w:uiPriority w:val="99"/>
    <w:semiHidden/>
    <w:unhideWhenUsed/>
    <w:qFormat/>
    <w:rsid w:val="00E611DC"/>
    <w:rPr>
      <w:sz w:val="21"/>
      <w:szCs w:val="21"/>
    </w:rPr>
  </w:style>
  <w:style w:type="character" w:customStyle="1" w:styleId="Char2">
    <w:name w:val="页眉 Char"/>
    <w:link w:val="a6"/>
    <w:uiPriority w:val="99"/>
    <w:qFormat/>
    <w:rsid w:val="00E611DC"/>
    <w:rPr>
      <w:sz w:val="18"/>
      <w:szCs w:val="18"/>
    </w:rPr>
  </w:style>
  <w:style w:type="character" w:customStyle="1" w:styleId="Char1">
    <w:name w:val="页脚 Char"/>
    <w:link w:val="a5"/>
    <w:uiPriority w:val="99"/>
    <w:qFormat/>
    <w:rsid w:val="00E611DC"/>
    <w:rPr>
      <w:sz w:val="18"/>
      <w:szCs w:val="18"/>
    </w:rPr>
  </w:style>
  <w:style w:type="table" w:customStyle="1" w:styleId="dxjgtable">
    <w:name w:val="dxjg_table"/>
    <w:basedOn w:val="a1"/>
    <w:uiPriority w:val="99"/>
    <w:qFormat/>
    <w:rsid w:val="00E611DC"/>
    <w:pPr>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customStyle="1" w:styleId="Char0">
    <w:name w:val="批注框文本 Char"/>
    <w:basedOn w:val="a0"/>
    <w:link w:val="a4"/>
    <w:uiPriority w:val="99"/>
    <w:semiHidden/>
    <w:qFormat/>
    <w:rsid w:val="00E611DC"/>
    <w:rPr>
      <w:rFonts w:ascii="Calibri" w:hAnsi="Calibri"/>
      <w:kern w:val="2"/>
      <w:sz w:val="18"/>
      <w:szCs w:val="18"/>
    </w:rPr>
  </w:style>
  <w:style w:type="character" w:customStyle="1" w:styleId="Char">
    <w:name w:val="批注文字 Char"/>
    <w:basedOn w:val="a0"/>
    <w:link w:val="a3"/>
    <w:uiPriority w:val="99"/>
    <w:semiHidden/>
    <w:qFormat/>
    <w:rsid w:val="00E611DC"/>
    <w:rPr>
      <w:rFonts w:ascii="Calibri" w:hAnsi="Calibri"/>
      <w:kern w:val="2"/>
      <w:sz w:val="21"/>
      <w:szCs w:val="22"/>
    </w:rPr>
  </w:style>
  <w:style w:type="character" w:customStyle="1" w:styleId="Char3">
    <w:name w:val="批注主题 Char"/>
    <w:basedOn w:val="Char"/>
    <w:link w:val="a8"/>
    <w:uiPriority w:val="99"/>
    <w:semiHidden/>
    <w:qFormat/>
    <w:rsid w:val="00E611DC"/>
    <w:rPr>
      <w:rFonts w:ascii="Calibri" w:hAnsi="Calibri"/>
      <w:b/>
      <w:bCs/>
      <w:kern w:val="2"/>
      <w:sz w:val="21"/>
      <w:szCs w:val="22"/>
    </w:rPr>
  </w:style>
  <w:style w:type="paragraph" w:styleId="ac">
    <w:name w:val="Revision"/>
    <w:hidden/>
    <w:uiPriority w:val="99"/>
    <w:semiHidden/>
    <w:rsid w:val="008E79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201751714">
      <w:bodyDiv w:val="1"/>
      <w:marLeft w:val="0"/>
      <w:marRight w:val="0"/>
      <w:marTop w:val="0"/>
      <w:marBottom w:val="0"/>
      <w:divBdr>
        <w:top w:val="none" w:sz="0" w:space="0" w:color="auto"/>
        <w:left w:val="none" w:sz="0" w:space="0" w:color="auto"/>
        <w:bottom w:val="none" w:sz="0" w:space="0" w:color="auto"/>
        <w:right w:val="none" w:sz="0" w:space="0" w:color="auto"/>
      </w:divBdr>
    </w:div>
    <w:div w:id="359937687">
      <w:bodyDiv w:val="1"/>
      <w:marLeft w:val="0"/>
      <w:marRight w:val="0"/>
      <w:marTop w:val="0"/>
      <w:marBottom w:val="0"/>
      <w:divBdr>
        <w:top w:val="none" w:sz="0" w:space="0" w:color="auto"/>
        <w:left w:val="none" w:sz="0" w:space="0" w:color="auto"/>
        <w:bottom w:val="none" w:sz="0" w:space="0" w:color="auto"/>
        <w:right w:val="none" w:sz="0" w:space="0" w:color="auto"/>
      </w:divBdr>
    </w:div>
    <w:div w:id="571814027">
      <w:bodyDiv w:val="1"/>
      <w:marLeft w:val="0"/>
      <w:marRight w:val="0"/>
      <w:marTop w:val="0"/>
      <w:marBottom w:val="0"/>
      <w:divBdr>
        <w:top w:val="none" w:sz="0" w:space="0" w:color="auto"/>
        <w:left w:val="none" w:sz="0" w:space="0" w:color="auto"/>
        <w:bottom w:val="none" w:sz="0" w:space="0" w:color="auto"/>
        <w:right w:val="none" w:sz="0" w:space="0" w:color="auto"/>
      </w:divBdr>
    </w:div>
    <w:div w:id="585918179">
      <w:bodyDiv w:val="1"/>
      <w:marLeft w:val="0"/>
      <w:marRight w:val="0"/>
      <w:marTop w:val="0"/>
      <w:marBottom w:val="0"/>
      <w:divBdr>
        <w:top w:val="none" w:sz="0" w:space="0" w:color="auto"/>
        <w:left w:val="none" w:sz="0" w:space="0" w:color="auto"/>
        <w:bottom w:val="none" w:sz="0" w:space="0" w:color="auto"/>
        <w:right w:val="none" w:sz="0" w:space="0" w:color="auto"/>
      </w:divBdr>
    </w:div>
    <w:div w:id="1470978499">
      <w:bodyDiv w:val="1"/>
      <w:marLeft w:val="0"/>
      <w:marRight w:val="0"/>
      <w:marTop w:val="0"/>
      <w:marBottom w:val="0"/>
      <w:divBdr>
        <w:top w:val="none" w:sz="0" w:space="0" w:color="auto"/>
        <w:left w:val="none" w:sz="0" w:space="0" w:color="auto"/>
        <w:bottom w:val="none" w:sz="0" w:space="0" w:color="auto"/>
        <w:right w:val="none" w:sz="0" w:space="0" w:color="auto"/>
      </w:divBdr>
    </w:div>
    <w:div w:id="210517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4</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ZHONGM</cp:lastModifiedBy>
  <cp:revision>2</cp:revision>
  <dcterms:created xsi:type="dcterms:W3CDTF">2024-04-22T16:02:00Z</dcterms:created>
  <dcterms:modified xsi:type="dcterms:W3CDTF">2024-04-22T16:02:00Z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924FA1B1E2A3406B9CA8F5ED17546CCE</vt:lpwstr>
  </property>
</Properties>
</file>