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33" w:rsidRDefault="00C656D5">
      <w:pPr>
        <w:jc w:val="center"/>
        <w:rPr>
          <w:rFonts w:ascii="黑体" w:eastAsia="黑体" w:hAnsi="黑体"/>
          <w:sz w:val="36"/>
          <w:szCs w:val="36"/>
        </w:rPr>
      </w:pPr>
      <w:r>
        <w:rPr>
          <w:rFonts w:ascii="黑体" w:eastAsia="黑体" w:hAnsi="黑体" w:hint="eastAsia"/>
          <w:sz w:val="36"/>
          <w:szCs w:val="36"/>
        </w:rPr>
        <w:t>关于旗下部分基金在济安财富（北京）基金销售有限公司开通定期定额投资的公告</w:t>
      </w:r>
    </w:p>
    <w:p w:rsidR="00E27D33" w:rsidRDefault="00E27D33">
      <w:pPr>
        <w:jc w:val="center"/>
        <w:rPr>
          <w:rFonts w:ascii="黑体" w:eastAsia="黑体" w:hAnsi="黑体"/>
          <w:sz w:val="44"/>
          <w:szCs w:val="44"/>
        </w:rPr>
      </w:pP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为</w:t>
      </w:r>
      <w:r>
        <w:rPr>
          <w:rFonts w:ascii="Times New Roman" w:eastAsia="宋体" w:hAnsi="Times New Roman" w:cs="Times New Roman" w:hint="eastAsia"/>
          <w:color w:val="000000"/>
          <w:kern w:val="0"/>
          <w:sz w:val="24"/>
          <w:szCs w:val="24"/>
        </w:rPr>
        <w:t>向客户提供更加全面、优质的金融服务</w:t>
      </w:r>
      <w:r>
        <w:rPr>
          <w:rFonts w:ascii="Times New Roman" w:eastAsia="宋体" w:hAnsi="Times New Roman" w:cs="Times New Roman"/>
          <w:color w:val="000000"/>
          <w:kern w:val="0"/>
          <w:sz w:val="24"/>
          <w:szCs w:val="24"/>
        </w:rPr>
        <w:t>，兴银基金管理有限责任公司（以下简称</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我公司</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）经与</w:t>
      </w:r>
      <w:r>
        <w:rPr>
          <w:rFonts w:ascii="Times New Roman" w:eastAsia="宋体" w:hAnsi="Times New Roman" w:cs="Times New Roman" w:hint="eastAsia"/>
          <w:color w:val="000000"/>
          <w:kern w:val="0"/>
          <w:sz w:val="24"/>
          <w:szCs w:val="24"/>
        </w:rPr>
        <w:t>济安财富（北京）基金销售有限公司</w:t>
      </w:r>
      <w:r>
        <w:rPr>
          <w:rFonts w:ascii="Times New Roman" w:eastAsia="宋体" w:hAnsi="Times New Roman" w:cs="Times New Roman"/>
          <w:color w:val="000000"/>
          <w:kern w:val="0"/>
          <w:sz w:val="24"/>
          <w:szCs w:val="24"/>
        </w:rPr>
        <w:t>（以下简称</w:t>
      </w:r>
      <w:r>
        <w:rPr>
          <w:rFonts w:ascii="Times New Roman" w:eastAsia="宋体" w:hAnsi="Times New Roman" w:cs="Times New Roman" w:hint="eastAsia"/>
          <w:color w:val="000000"/>
          <w:kern w:val="0"/>
          <w:sz w:val="24"/>
          <w:szCs w:val="24"/>
        </w:rPr>
        <w:t>“济安财富”</w:t>
      </w:r>
      <w:r>
        <w:rPr>
          <w:rFonts w:ascii="Times New Roman" w:eastAsia="宋体" w:hAnsi="Times New Roman" w:cs="Times New Roman"/>
          <w:color w:val="000000"/>
          <w:kern w:val="0"/>
          <w:sz w:val="24"/>
          <w:szCs w:val="24"/>
        </w:rPr>
        <w:t>）协商一致，</w:t>
      </w:r>
      <w:r>
        <w:rPr>
          <w:rFonts w:ascii="Times New Roman" w:eastAsia="宋体" w:hAnsi="Times New Roman" w:cs="Times New Roman" w:hint="eastAsia"/>
          <w:color w:val="000000"/>
          <w:kern w:val="0"/>
          <w:sz w:val="24"/>
          <w:szCs w:val="24"/>
        </w:rPr>
        <w:t>自</w:t>
      </w:r>
      <w:r>
        <w:rPr>
          <w:rFonts w:ascii="Times New Roman" w:eastAsia="宋体" w:hAnsi="Times New Roman" w:cs="Times New Roman" w:hint="eastAsia"/>
          <w:color w:val="000000"/>
          <w:kern w:val="0"/>
          <w:sz w:val="24"/>
          <w:szCs w:val="24"/>
        </w:rPr>
        <w:t>2</w:t>
      </w:r>
      <w:r>
        <w:rPr>
          <w:rFonts w:ascii="Times New Roman" w:eastAsia="宋体" w:hAnsi="Times New Roman" w:cs="Times New Roman"/>
          <w:color w:val="000000"/>
          <w:kern w:val="0"/>
          <w:sz w:val="24"/>
          <w:szCs w:val="24"/>
        </w:rPr>
        <w:t>024</w:t>
      </w:r>
      <w:r>
        <w:rPr>
          <w:rFonts w:ascii="Times New Roman" w:eastAsia="宋体" w:hAnsi="Times New Roman" w:cs="Times New Roman" w:hint="eastAsia"/>
          <w:color w:val="000000"/>
          <w:kern w:val="0"/>
          <w:sz w:val="24"/>
          <w:szCs w:val="24"/>
        </w:rPr>
        <w:t>年</w:t>
      </w:r>
      <w:r>
        <w:rPr>
          <w:rFonts w:ascii="Times New Roman" w:eastAsia="宋体" w:hAnsi="Times New Roman" w:cs="Times New Roman" w:hint="eastAsia"/>
          <w:color w:val="000000"/>
          <w:kern w:val="0"/>
          <w:sz w:val="24"/>
          <w:szCs w:val="24"/>
        </w:rPr>
        <w:t>4</w:t>
      </w:r>
      <w:r>
        <w:rPr>
          <w:rFonts w:ascii="Times New Roman" w:eastAsia="宋体" w:hAnsi="Times New Roman" w:cs="Times New Roman" w:hint="eastAsia"/>
          <w:color w:val="000000"/>
          <w:kern w:val="0"/>
          <w:sz w:val="24"/>
          <w:szCs w:val="24"/>
        </w:rPr>
        <w:t>月</w:t>
      </w:r>
      <w:r>
        <w:rPr>
          <w:rFonts w:ascii="Times New Roman" w:eastAsia="宋体" w:hAnsi="Times New Roman" w:cs="Times New Roman" w:hint="eastAsia"/>
          <w:color w:val="000000"/>
          <w:kern w:val="0"/>
          <w:sz w:val="24"/>
          <w:szCs w:val="24"/>
        </w:rPr>
        <w:t>22</w:t>
      </w:r>
      <w:r>
        <w:rPr>
          <w:rFonts w:ascii="Times New Roman" w:eastAsia="宋体" w:hAnsi="Times New Roman" w:cs="Times New Roman" w:hint="eastAsia"/>
          <w:color w:val="000000"/>
          <w:kern w:val="0"/>
          <w:sz w:val="24"/>
          <w:szCs w:val="24"/>
        </w:rPr>
        <w:t>日起，</w:t>
      </w:r>
      <w:r>
        <w:rPr>
          <w:rFonts w:ascii="Times New Roman" w:eastAsia="宋体" w:hAnsi="Times New Roman" w:cs="Times New Roman"/>
          <w:color w:val="000000"/>
          <w:kern w:val="0"/>
          <w:sz w:val="24"/>
          <w:szCs w:val="24"/>
        </w:rPr>
        <w:t>我公司旗下通过</w:t>
      </w:r>
      <w:r>
        <w:rPr>
          <w:rFonts w:ascii="Times New Roman" w:eastAsia="宋体" w:hAnsi="Times New Roman" w:cs="Times New Roman" w:hint="eastAsia"/>
          <w:color w:val="000000"/>
          <w:kern w:val="0"/>
          <w:sz w:val="24"/>
          <w:szCs w:val="24"/>
        </w:rPr>
        <w:t>济安财富</w:t>
      </w:r>
      <w:r>
        <w:rPr>
          <w:rFonts w:ascii="Times New Roman" w:eastAsia="宋体" w:hAnsi="Times New Roman" w:cs="Times New Roman"/>
          <w:color w:val="000000"/>
          <w:kern w:val="0"/>
          <w:sz w:val="24"/>
          <w:szCs w:val="24"/>
        </w:rPr>
        <w:t>代销的基金均开通定期定额投资</w:t>
      </w:r>
      <w:r>
        <w:rPr>
          <w:rFonts w:ascii="Times New Roman" w:eastAsia="宋体" w:hAnsi="Times New Roman" w:cs="Times New Roman" w:hint="eastAsia"/>
          <w:color w:val="000000"/>
          <w:kern w:val="0"/>
          <w:sz w:val="24"/>
          <w:szCs w:val="24"/>
        </w:rPr>
        <w:t>（“定开类”、“滚动持有类”产品</w:t>
      </w:r>
      <w:bookmarkStart w:id="0" w:name="_GoBack"/>
      <w:bookmarkEnd w:id="0"/>
      <w:r>
        <w:rPr>
          <w:rFonts w:ascii="Times New Roman" w:eastAsia="宋体" w:hAnsi="Times New Roman" w:cs="Times New Roman" w:hint="eastAsia"/>
          <w:color w:val="000000"/>
          <w:kern w:val="0"/>
          <w:sz w:val="24"/>
          <w:szCs w:val="24"/>
        </w:rPr>
        <w:t>除外）</w:t>
      </w:r>
      <w:r>
        <w:rPr>
          <w:rFonts w:ascii="Times New Roman" w:eastAsia="宋体" w:hAnsi="Times New Roman" w:cs="Times New Roman"/>
          <w:color w:val="000000"/>
          <w:kern w:val="0"/>
          <w:sz w:val="24"/>
          <w:szCs w:val="24"/>
        </w:rPr>
        <w:t>。</w:t>
      </w:r>
    </w:p>
    <w:p w:rsidR="00E27D33" w:rsidRDefault="00E27D33">
      <w:pPr>
        <w:autoSpaceDE w:val="0"/>
        <w:autoSpaceDN w:val="0"/>
        <w:adjustRightInd w:val="0"/>
        <w:spacing w:line="360" w:lineRule="auto"/>
        <w:jc w:val="left"/>
        <w:rPr>
          <w:rFonts w:ascii="Times New Roman" w:eastAsia="宋体" w:hAnsi="Times New Roman" w:cs="Times New Roman"/>
          <w:color w:val="000000"/>
          <w:kern w:val="0"/>
          <w:sz w:val="24"/>
          <w:szCs w:val="24"/>
        </w:rPr>
      </w:pP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一、适用基金范围</w:t>
      </w:r>
    </w:p>
    <w:tbl>
      <w:tblPr>
        <w:tblStyle w:val="a8"/>
        <w:tblW w:w="5000" w:type="pct"/>
        <w:tblLook w:val="04A0"/>
      </w:tblPr>
      <w:tblGrid>
        <w:gridCol w:w="4656"/>
        <w:gridCol w:w="3866"/>
      </w:tblGrid>
      <w:tr w:rsidR="00E27D33">
        <w:tc>
          <w:tcPr>
            <w:tcW w:w="2731" w:type="pct"/>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基金简称</w:t>
            </w:r>
          </w:p>
        </w:tc>
        <w:tc>
          <w:tcPr>
            <w:tcW w:w="2268" w:type="pct"/>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基金代码</w:t>
            </w:r>
          </w:p>
        </w:tc>
      </w:tr>
      <w:tr w:rsidR="00E27D33">
        <w:trPr>
          <w:trHeight w:val="90"/>
        </w:trPr>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兴银策略智选混合</w:t>
            </w:r>
            <w:r>
              <w:rPr>
                <w:rFonts w:ascii="Times New Roman" w:eastAsia="宋体" w:hAnsi="Times New Roman" w:cs="Times New Roman" w:hint="eastAsia"/>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010427</w:t>
            </w:r>
          </w:p>
        </w:tc>
      </w:tr>
      <w:tr w:rsidR="00E27D33">
        <w:trPr>
          <w:trHeight w:val="90"/>
        </w:trPr>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兴银策略智选混合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010428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兴银朝阳</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001794</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兴银鼎新灵活配置</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001339</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兴银丰盈灵活配置</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001474</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兴银丰盈灵活配置</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018574</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兴银丰运稳益回报混合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009205</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兴银丰运稳益回报混合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009206</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兴银高端制造混合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011765</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兴银高端制造混合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011766</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兴银合丰债</w:t>
            </w:r>
            <w:r>
              <w:rPr>
                <w:rFonts w:ascii="Times New Roman" w:eastAsia="宋体" w:hAnsi="Times New Roman" w:cs="Times New Roman" w:hint="eastAsia"/>
                <w:color w:val="000000"/>
                <w:kern w:val="0"/>
                <w:sz w:val="24"/>
                <w:szCs w:val="24"/>
              </w:rPr>
              <w:t>券</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007433</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兴银合丰债</w:t>
            </w:r>
            <w:r>
              <w:rPr>
                <w:rFonts w:ascii="Times New Roman" w:eastAsia="宋体" w:hAnsi="Times New Roman" w:cs="Times New Roman" w:hint="eastAsia"/>
                <w:color w:val="000000"/>
                <w:kern w:val="0"/>
                <w:sz w:val="24"/>
                <w:szCs w:val="24"/>
              </w:rPr>
              <w:t>券</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017613</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兴银货币</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000741</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兴银货币</w:t>
            </w:r>
            <w:r>
              <w:rPr>
                <w:rFonts w:ascii="Times New Roman" w:eastAsia="宋体" w:hAnsi="Times New Roman" w:cs="Times New Roman"/>
                <w:color w:val="000000"/>
                <w:kern w:val="0"/>
                <w:sz w:val="24"/>
                <w:szCs w:val="24"/>
              </w:rPr>
              <w:t>B</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000740</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兴银景气优选混合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010124</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兴银景气优选混合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010125</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兴银竞争优势混合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013783</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兴银竞争优势混合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013784</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兴银聚丰债券</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008582</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兴银瑞益</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001960</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兴银收益增强</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003628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兴银收益增强</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018500</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兴银碳中和主题混合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014838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兴银碳中和主题混合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014839</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兴银稳惠</w:t>
            </w:r>
            <w:r>
              <w:rPr>
                <w:rFonts w:ascii="Times New Roman" w:eastAsia="宋体" w:hAnsi="Times New Roman" w:cs="Times New Roman"/>
                <w:color w:val="000000"/>
                <w:kern w:val="0"/>
                <w:sz w:val="24"/>
                <w:szCs w:val="24"/>
              </w:rPr>
              <w:t>180</w:t>
            </w:r>
            <w:r>
              <w:rPr>
                <w:rFonts w:ascii="Times New Roman" w:eastAsia="宋体" w:hAnsi="Times New Roman" w:cs="Times New Roman"/>
                <w:color w:val="000000"/>
                <w:kern w:val="0"/>
                <w:sz w:val="24"/>
                <w:szCs w:val="24"/>
              </w:rPr>
              <w:t>天持有期混合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018212</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兴银稳惠</w:t>
            </w:r>
            <w:r>
              <w:rPr>
                <w:rFonts w:ascii="Times New Roman" w:eastAsia="宋体" w:hAnsi="Times New Roman" w:cs="Times New Roman"/>
                <w:color w:val="000000"/>
                <w:kern w:val="0"/>
                <w:sz w:val="24"/>
                <w:szCs w:val="24"/>
              </w:rPr>
              <w:t>180</w:t>
            </w:r>
            <w:r>
              <w:rPr>
                <w:rFonts w:ascii="Times New Roman" w:eastAsia="宋体" w:hAnsi="Times New Roman" w:cs="Times New Roman"/>
                <w:color w:val="000000"/>
                <w:kern w:val="0"/>
                <w:sz w:val="24"/>
                <w:szCs w:val="24"/>
              </w:rPr>
              <w:t>天持有期混合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018213</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兴银稳建</w:t>
            </w:r>
            <w:r>
              <w:rPr>
                <w:rFonts w:ascii="Times New Roman" w:eastAsia="宋体" w:hAnsi="Times New Roman" w:cs="Times New Roman"/>
                <w:color w:val="000000"/>
                <w:kern w:val="0"/>
                <w:sz w:val="24"/>
                <w:szCs w:val="24"/>
              </w:rPr>
              <w:t>90</w:t>
            </w:r>
            <w:r>
              <w:rPr>
                <w:rFonts w:ascii="Times New Roman" w:eastAsia="宋体" w:hAnsi="Times New Roman" w:cs="Times New Roman"/>
                <w:color w:val="000000"/>
                <w:kern w:val="0"/>
                <w:sz w:val="24"/>
                <w:szCs w:val="24"/>
              </w:rPr>
              <w:t>天持有期中短债</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017665</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兴银稳建</w:t>
            </w:r>
            <w:r>
              <w:rPr>
                <w:rFonts w:ascii="Times New Roman" w:eastAsia="宋体" w:hAnsi="Times New Roman" w:cs="Times New Roman"/>
                <w:color w:val="000000"/>
                <w:kern w:val="0"/>
                <w:sz w:val="24"/>
                <w:szCs w:val="24"/>
              </w:rPr>
              <w:t>90</w:t>
            </w:r>
            <w:r>
              <w:rPr>
                <w:rFonts w:ascii="Times New Roman" w:eastAsia="宋体" w:hAnsi="Times New Roman" w:cs="Times New Roman"/>
                <w:color w:val="000000"/>
                <w:kern w:val="0"/>
                <w:sz w:val="24"/>
                <w:szCs w:val="24"/>
              </w:rPr>
              <w:t>天持有期中短债</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017666</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兴银稳益</w:t>
            </w:r>
            <w:r>
              <w:rPr>
                <w:rFonts w:ascii="Times New Roman" w:eastAsia="宋体" w:hAnsi="Times New Roman" w:cs="Times New Roman"/>
                <w:color w:val="000000"/>
                <w:kern w:val="0"/>
                <w:sz w:val="24"/>
                <w:szCs w:val="24"/>
              </w:rPr>
              <w:t>30</w:t>
            </w:r>
            <w:r>
              <w:rPr>
                <w:rFonts w:ascii="Times New Roman" w:eastAsia="宋体" w:hAnsi="Times New Roman" w:cs="Times New Roman"/>
                <w:color w:val="000000"/>
                <w:kern w:val="0"/>
                <w:sz w:val="24"/>
                <w:szCs w:val="24"/>
              </w:rPr>
              <w:t>天持有期债券</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013718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兴银稳益</w:t>
            </w:r>
            <w:r>
              <w:rPr>
                <w:rFonts w:ascii="Times New Roman" w:eastAsia="宋体" w:hAnsi="Times New Roman" w:cs="Times New Roman"/>
                <w:color w:val="000000"/>
                <w:kern w:val="0"/>
                <w:sz w:val="24"/>
                <w:szCs w:val="24"/>
              </w:rPr>
              <w:t>30</w:t>
            </w:r>
            <w:r>
              <w:rPr>
                <w:rFonts w:ascii="Times New Roman" w:eastAsia="宋体" w:hAnsi="Times New Roman" w:cs="Times New Roman"/>
                <w:color w:val="000000"/>
                <w:kern w:val="0"/>
                <w:sz w:val="24"/>
                <w:szCs w:val="24"/>
              </w:rPr>
              <w:t>天持有期债券</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013719</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兴银先锋成长混合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008037</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兴银先锋成长混合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008038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兴银现金收益</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003525</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兴银现金添利</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004121</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兴银现金添利</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018092</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兴银现金增利</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001937</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兴银消费新趋势灵活配置</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004456</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兴银消费新趋势灵活配置</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018658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兴银鑫日享短债</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005079</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兴银鑫日享短债</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007637</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兴银兴慧一年持有混合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013676</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兴银兴慧一年持有混合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013677</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兴银研究精选股票</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008537</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兴银研究精选股票</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008538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兴银智选消费混合</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018990</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兴银智选消费混合</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018991</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兴银中短债</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006545</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兴银中短债</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006546</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w:t>
            </w:r>
            <w:r>
              <w:rPr>
                <w:rFonts w:ascii="Times New Roman" w:eastAsia="宋体" w:hAnsi="Times New Roman" w:cs="Times New Roman"/>
                <w:color w:val="000000"/>
                <w:kern w:val="0"/>
                <w:sz w:val="24"/>
                <w:szCs w:val="24"/>
              </w:rPr>
              <w:t>1000</w:t>
            </w:r>
            <w:r>
              <w:rPr>
                <w:rFonts w:ascii="Times New Roman" w:eastAsia="宋体" w:hAnsi="Times New Roman" w:cs="Times New Roman"/>
                <w:color w:val="000000"/>
                <w:kern w:val="0"/>
                <w:sz w:val="24"/>
                <w:szCs w:val="24"/>
              </w:rPr>
              <w:t>指数增强</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014831</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w:t>
            </w:r>
            <w:r>
              <w:rPr>
                <w:rFonts w:ascii="Times New Roman" w:eastAsia="宋体" w:hAnsi="Times New Roman" w:cs="Times New Roman"/>
                <w:color w:val="000000"/>
                <w:kern w:val="0"/>
                <w:sz w:val="24"/>
                <w:szCs w:val="24"/>
              </w:rPr>
              <w:t>1000</w:t>
            </w:r>
            <w:r>
              <w:rPr>
                <w:rFonts w:ascii="Times New Roman" w:eastAsia="宋体" w:hAnsi="Times New Roman" w:cs="Times New Roman"/>
                <w:color w:val="000000"/>
                <w:kern w:val="0"/>
                <w:sz w:val="24"/>
                <w:szCs w:val="24"/>
              </w:rPr>
              <w:t>指数增强</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014832</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w:t>
            </w:r>
            <w:r>
              <w:rPr>
                <w:rFonts w:ascii="Times New Roman" w:eastAsia="宋体" w:hAnsi="Times New Roman" w:cs="Times New Roman"/>
                <w:color w:val="000000"/>
                <w:kern w:val="0"/>
                <w:sz w:val="24"/>
                <w:szCs w:val="24"/>
              </w:rPr>
              <w:t>500</w:t>
            </w:r>
            <w:r>
              <w:rPr>
                <w:rFonts w:ascii="Times New Roman" w:eastAsia="宋体" w:hAnsi="Times New Roman" w:cs="Times New Roman"/>
                <w:color w:val="000000"/>
                <w:kern w:val="0"/>
                <w:sz w:val="24"/>
                <w:szCs w:val="24"/>
              </w:rPr>
              <w:t>指数增强</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010253</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w:t>
            </w:r>
            <w:r>
              <w:rPr>
                <w:rFonts w:ascii="Times New Roman" w:eastAsia="宋体" w:hAnsi="Times New Roman" w:cs="Times New Roman"/>
                <w:color w:val="000000"/>
                <w:kern w:val="0"/>
                <w:sz w:val="24"/>
                <w:szCs w:val="24"/>
              </w:rPr>
              <w:t>500</w:t>
            </w:r>
            <w:r>
              <w:rPr>
                <w:rFonts w:ascii="Times New Roman" w:eastAsia="宋体" w:hAnsi="Times New Roman" w:cs="Times New Roman"/>
                <w:color w:val="000000"/>
                <w:kern w:val="0"/>
                <w:sz w:val="24"/>
                <w:szCs w:val="24"/>
              </w:rPr>
              <w:t>指数增强</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011205</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兴银中证科创创业</w:t>
            </w:r>
            <w:r>
              <w:rPr>
                <w:rFonts w:ascii="Times New Roman" w:eastAsia="宋体" w:hAnsi="Times New Roman" w:cs="Times New Roman"/>
                <w:color w:val="000000"/>
                <w:kern w:val="0"/>
                <w:sz w:val="24"/>
                <w:szCs w:val="24"/>
              </w:rPr>
              <w:t>50</w:t>
            </w:r>
            <w:r>
              <w:rPr>
                <w:rFonts w:ascii="Times New Roman" w:eastAsia="宋体" w:hAnsi="Times New Roman" w:cs="Times New Roman"/>
                <w:color w:val="000000"/>
                <w:kern w:val="0"/>
                <w:sz w:val="24"/>
                <w:szCs w:val="24"/>
              </w:rPr>
              <w:t>指数</w:t>
            </w:r>
            <w:r>
              <w:rPr>
                <w:rFonts w:ascii="Times New Roman" w:eastAsia="宋体" w:hAnsi="Times New Roman" w:cs="Times New Roman"/>
                <w:color w:val="000000"/>
                <w:kern w:val="0"/>
                <w:sz w:val="24"/>
                <w:szCs w:val="24"/>
              </w:rPr>
              <w:t>A</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012898</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兴银中证科创创业</w:t>
            </w:r>
            <w:r>
              <w:rPr>
                <w:rFonts w:ascii="Times New Roman" w:eastAsia="宋体" w:hAnsi="Times New Roman" w:cs="Times New Roman"/>
                <w:color w:val="000000"/>
                <w:kern w:val="0"/>
                <w:sz w:val="24"/>
                <w:szCs w:val="24"/>
              </w:rPr>
              <w:t>50</w:t>
            </w:r>
            <w:r>
              <w:rPr>
                <w:rFonts w:ascii="Times New Roman" w:eastAsia="宋体" w:hAnsi="Times New Roman" w:cs="Times New Roman"/>
                <w:color w:val="000000"/>
                <w:kern w:val="0"/>
                <w:sz w:val="24"/>
                <w:szCs w:val="24"/>
              </w:rPr>
              <w:t>指数</w:t>
            </w:r>
            <w:r>
              <w:rPr>
                <w:rFonts w:ascii="Times New Roman" w:eastAsia="宋体" w:hAnsi="Times New Roman" w:cs="Times New Roman"/>
                <w:color w:val="000000"/>
                <w:kern w:val="0"/>
                <w:sz w:val="24"/>
                <w:szCs w:val="24"/>
              </w:rPr>
              <w:t>C</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012899</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兴银中证科创创业</w:t>
            </w:r>
            <w:r>
              <w:rPr>
                <w:rFonts w:ascii="Times New Roman" w:eastAsia="宋体" w:hAnsi="Times New Roman" w:cs="Times New Roman"/>
                <w:color w:val="000000"/>
                <w:kern w:val="0"/>
                <w:sz w:val="24"/>
                <w:szCs w:val="24"/>
              </w:rPr>
              <w:t>50</w:t>
            </w:r>
            <w:r>
              <w:rPr>
                <w:rFonts w:ascii="Times New Roman" w:eastAsia="宋体" w:hAnsi="Times New Roman" w:cs="Times New Roman"/>
                <w:color w:val="000000"/>
                <w:kern w:val="0"/>
                <w:sz w:val="24"/>
                <w:szCs w:val="24"/>
              </w:rPr>
              <w:t>指数</w:t>
            </w:r>
            <w:r>
              <w:rPr>
                <w:rFonts w:ascii="Times New Roman" w:eastAsia="宋体" w:hAnsi="Times New Roman" w:cs="Times New Roman"/>
                <w:color w:val="000000"/>
                <w:kern w:val="0"/>
                <w:sz w:val="24"/>
                <w:szCs w:val="24"/>
              </w:rPr>
              <w:t>E</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016010</w:t>
            </w:r>
          </w:p>
        </w:tc>
      </w:tr>
      <w:tr w:rsidR="00E27D33">
        <w:tc>
          <w:tcPr>
            <w:tcW w:w="2731"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兴银中证同业存单</w:t>
            </w:r>
            <w:r>
              <w:rPr>
                <w:rFonts w:ascii="Times New Roman" w:eastAsia="宋体" w:hAnsi="Times New Roman" w:cs="Times New Roman"/>
                <w:color w:val="000000"/>
                <w:kern w:val="0"/>
                <w:sz w:val="24"/>
                <w:szCs w:val="24"/>
              </w:rPr>
              <w:t>AAA</w:t>
            </w:r>
            <w:r>
              <w:rPr>
                <w:rFonts w:ascii="Times New Roman" w:eastAsia="宋体" w:hAnsi="Times New Roman" w:cs="Times New Roman"/>
                <w:color w:val="000000"/>
                <w:kern w:val="0"/>
                <w:sz w:val="24"/>
                <w:szCs w:val="24"/>
              </w:rPr>
              <w:t>指数</w:t>
            </w: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天持有期</w:t>
            </w:r>
          </w:p>
        </w:tc>
        <w:tc>
          <w:tcPr>
            <w:tcW w:w="2268" w:type="pct"/>
            <w:vAlign w:val="bottom"/>
          </w:tcPr>
          <w:p w:rsidR="00E27D33" w:rsidRDefault="00C656D5">
            <w:pPr>
              <w:autoSpaceDE w:val="0"/>
              <w:autoSpaceDN w:val="0"/>
              <w:adjustRightIn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015648</w:t>
            </w:r>
          </w:p>
        </w:tc>
      </w:tr>
    </w:tbl>
    <w:p w:rsidR="00E27D33" w:rsidRDefault="00E27D33">
      <w:pPr>
        <w:autoSpaceDE w:val="0"/>
        <w:autoSpaceDN w:val="0"/>
        <w:adjustRightInd w:val="0"/>
        <w:spacing w:line="360" w:lineRule="auto"/>
        <w:jc w:val="left"/>
        <w:rPr>
          <w:rFonts w:ascii="Times New Roman" w:eastAsia="宋体" w:hAnsi="Times New Roman" w:cs="Times New Roman"/>
          <w:color w:val="000000"/>
          <w:kern w:val="0"/>
          <w:sz w:val="24"/>
          <w:szCs w:val="24"/>
        </w:rPr>
      </w:pP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定期定额投资业务</w:t>
      </w:r>
    </w:p>
    <w:p w:rsidR="00E27D33" w:rsidRDefault="00C656D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（一）定期定额投资业务的金额限制</w:t>
      </w:r>
    </w:p>
    <w:p w:rsidR="00E27D33" w:rsidRDefault="00C656D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投资者可以与</w:t>
      </w:r>
      <w:r>
        <w:rPr>
          <w:rFonts w:ascii="Times New Roman" w:eastAsia="宋体" w:hAnsi="Times New Roman" w:cs="Times New Roman" w:hint="eastAsia"/>
          <w:color w:val="000000"/>
          <w:kern w:val="0"/>
          <w:sz w:val="24"/>
          <w:szCs w:val="24"/>
        </w:rPr>
        <w:t>济安财富</w:t>
      </w:r>
      <w:r>
        <w:rPr>
          <w:rFonts w:ascii="Times New Roman" w:eastAsia="宋体" w:hAnsi="Times New Roman" w:cs="Times New Roman"/>
          <w:color w:val="000000"/>
          <w:kern w:val="0"/>
          <w:sz w:val="24"/>
          <w:szCs w:val="32"/>
        </w:rPr>
        <w:t>约定基金的每期固定扣款金额，每期最低申购金额（含申购费）不得低于基金管理人在各基金相关公告或更新的招募说明书中所规定的最低申购金额（含申购费），累计申购限额（如有）详见各基金的相关公告。</w:t>
      </w:r>
    </w:p>
    <w:p w:rsidR="00E27D33" w:rsidRDefault="00C656D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（二）定期定额投资费率</w:t>
      </w:r>
    </w:p>
    <w:p w:rsidR="00E27D33" w:rsidRDefault="00C656D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除另有公告外，定期定额投资费率与日常申购费率相同。</w:t>
      </w:r>
    </w:p>
    <w:p w:rsidR="00E27D33" w:rsidRDefault="00C656D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（三）定期定额投资业务的业务流程</w:t>
      </w:r>
      <w:r>
        <w:rPr>
          <w:rFonts w:ascii="Times New Roman" w:eastAsia="宋体" w:hAnsi="Times New Roman" w:cs="Times New Roman"/>
          <w:color w:val="000000"/>
          <w:kern w:val="0"/>
          <w:sz w:val="24"/>
          <w:szCs w:val="32"/>
        </w:rPr>
        <w:t xml:space="preserve"> </w:t>
      </w:r>
    </w:p>
    <w:p w:rsidR="00E27D33" w:rsidRDefault="00C656D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投资人可在</w:t>
      </w:r>
      <w:r>
        <w:rPr>
          <w:rFonts w:ascii="Times New Roman" w:eastAsia="宋体" w:hAnsi="Times New Roman" w:cs="Times New Roman" w:hint="eastAsia"/>
          <w:color w:val="000000"/>
          <w:kern w:val="0"/>
          <w:sz w:val="24"/>
          <w:szCs w:val="24"/>
        </w:rPr>
        <w:t>济安财富</w:t>
      </w:r>
      <w:r>
        <w:rPr>
          <w:rFonts w:ascii="Times New Roman" w:eastAsia="宋体" w:hAnsi="Times New Roman" w:cs="Times New Roman"/>
          <w:color w:val="000000"/>
          <w:kern w:val="0"/>
          <w:sz w:val="24"/>
          <w:szCs w:val="32"/>
        </w:rPr>
        <w:t>办理基金的定期定额投资，申请办理程序及交易规则遵循</w:t>
      </w:r>
      <w:r>
        <w:rPr>
          <w:rFonts w:ascii="Times New Roman" w:eastAsia="宋体" w:hAnsi="Times New Roman" w:cs="Times New Roman" w:hint="eastAsia"/>
          <w:color w:val="000000"/>
          <w:kern w:val="0"/>
          <w:sz w:val="24"/>
          <w:szCs w:val="24"/>
        </w:rPr>
        <w:t>济安财富</w:t>
      </w:r>
      <w:r>
        <w:rPr>
          <w:rFonts w:ascii="Times New Roman" w:eastAsia="宋体" w:hAnsi="Times New Roman" w:cs="Times New Roman"/>
          <w:color w:val="000000"/>
          <w:kern w:val="0"/>
          <w:sz w:val="24"/>
          <w:szCs w:val="32"/>
        </w:rPr>
        <w:t>的相关规定。具体扣款方式以</w:t>
      </w:r>
      <w:r>
        <w:rPr>
          <w:rFonts w:ascii="Times New Roman" w:eastAsia="宋体" w:hAnsi="Times New Roman" w:cs="Times New Roman" w:hint="eastAsia"/>
          <w:color w:val="000000"/>
          <w:kern w:val="0"/>
          <w:sz w:val="24"/>
          <w:szCs w:val="24"/>
        </w:rPr>
        <w:t>济安财富</w:t>
      </w:r>
      <w:r>
        <w:rPr>
          <w:rFonts w:ascii="Times New Roman" w:eastAsia="宋体" w:hAnsi="Times New Roman" w:cs="Times New Roman"/>
          <w:color w:val="000000"/>
          <w:kern w:val="0"/>
          <w:sz w:val="24"/>
          <w:szCs w:val="32"/>
        </w:rPr>
        <w:t>的相关业务规则为准。</w:t>
      </w:r>
    </w:p>
    <w:p w:rsidR="00E27D33" w:rsidRDefault="00C656D5">
      <w:pPr>
        <w:autoSpaceDE w:val="0"/>
        <w:autoSpaceDN w:val="0"/>
        <w:adjustRightInd w:val="0"/>
        <w:spacing w:line="360" w:lineRule="auto"/>
        <w:ind w:firstLineChars="200" w:firstLine="480"/>
        <w:rPr>
          <w:rFonts w:ascii="Times New Roman" w:hAnsi="Times New Roman"/>
          <w:color w:val="000000"/>
          <w:kern w:val="0"/>
          <w:sz w:val="24"/>
          <w:szCs w:val="32"/>
        </w:rPr>
      </w:pPr>
      <w:r>
        <w:rPr>
          <w:rFonts w:ascii="Times New Roman" w:eastAsia="宋体" w:hAnsi="Times New Roman" w:cs="Times New Roman"/>
          <w:color w:val="000000"/>
          <w:kern w:val="0"/>
          <w:sz w:val="24"/>
          <w:szCs w:val="32"/>
        </w:rPr>
        <w:t>（四）各基金的申购费率、最低申购金额（含申购费）及详细情况请参见《基</w:t>
      </w:r>
      <w:r>
        <w:rPr>
          <w:rFonts w:ascii="Times New Roman" w:eastAsia="宋体" w:hAnsi="Times New Roman" w:cs="Times New Roman"/>
          <w:color w:val="000000"/>
          <w:kern w:val="0"/>
          <w:sz w:val="24"/>
          <w:szCs w:val="32"/>
        </w:rPr>
        <w:t xml:space="preserve"> </w:t>
      </w:r>
      <w:r>
        <w:rPr>
          <w:rFonts w:ascii="Times New Roman" w:eastAsia="宋体" w:hAnsi="Times New Roman" w:cs="Times New Roman"/>
          <w:color w:val="000000"/>
          <w:kern w:val="0"/>
          <w:sz w:val="24"/>
          <w:szCs w:val="32"/>
        </w:rPr>
        <w:t>金合同》《招募说明书》（及其更新）及基金管理人发布的最新业务公告。</w:t>
      </w:r>
    </w:p>
    <w:p w:rsidR="00E27D33" w:rsidRDefault="00E27D33">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三</w:t>
      </w:r>
      <w:r>
        <w:rPr>
          <w:rFonts w:ascii="Times New Roman" w:eastAsia="宋体" w:hAnsi="Times New Roman" w:cs="Times New Roman"/>
          <w:color w:val="000000"/>
          <w:kern w:val="0"/>
          <w:sz w:val="24"/>
          <w:szCs w:val="24"/>
        </w:rPr>
        <w:t>、投资者可通过以下途径咨询详情</w:t>
      </w: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w:t>
      </w:r>
      <w:r>
        <w:rPr>
          <w:rFonts w:ascii="Times New Roman" w:eastAsia="宋体" w:hAnsi="Times New Roman" w:cs="Times New Roman" w:hint="eastAsia"/>
          <w:color w:val="000000"/>
          <w:kern w:val="0"/>
          <w:sz w:val="24"/>
          <w:szCs w:val="24"/>
        </w:rPr>
        <w:t>济安财富（北京）基金销售有限公司</w:t>
      </w: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Pr>
          <w:rFonts w:ascii="Times New Roman" w:eastAsia="宋体" w:hAnsi="Times New Roman" w:cs="Times New Roman" w:hint="eastAsia"/>
          <w:color w:val="000000"/>
          <w:kern w:val="0"/>
          <w:sz w:val="24"/>
          <w:szCs w:val="24"/>
        </w:rPr>
        <w:t>400-673-7010</w:t>
      </w: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公司网站：</w:t>
      </w:r>
      <w:r>
        <w:rPr>
          <w:rFonts w:ascii="Times New Roman" w:eastAsia="宋体" w:hAnsi="Times New Roman" w:cs="Times New Roman" w:hint="eastAsia"/>
          <w:color w:val="000000"/>
          <w:kern w:val="0"/>
          <w:sz w:val="24"/>
          <w:szCs w:val="24"/>
        </w:rPr>
        <w:t>http://www.jianfortune.com</w:t>
      </w: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（二）兴银基金管理有限责任公司</w:t>
      </w: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Pr>
          <w:rFonts w:ascii="Times New Roman" w:eastAsia="宋体" w:hAnsi="Times New Roman" w:cs="Times New Roman"/>
          <w:color w:val="000000"/>
          <w:kern w:val="0"/>
          <w:sz w:val="24"/>
          <w:szCs w:val="24"/>
        </w:rPr>
        <w:t>40000-96326</w:t>
      </w: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公司网站：</w:t>
      </w:r>
      <w:r>
        <w:rPr>
          <w:rFonts w:ascii="Times New Roman" w:eastAsia="宋体" w:hAnsi="Times New Roman" w:cs="Times New Roman"/>
          <w:color w:val="000000"/>
          <w:kern w:val="0"/>
          <w:sz w:val="24"/>
          <w:szCs w:val="24"/>
        </w:rPr>
        <w:t>www.hffunds.cn</w:t>
      </w:r>
    </w:p>
    <w:p w:rsidR="00E27D33" w:rsidRDefault="00C656D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p w:rsidR="00E27D33" w:rsidRDefault="00C656D5">
      <w:pPr>
        <w:spacing w:line="360" w:lineRule="auto"/>
        <w:ind w:firstLineChars="200" w:firstLine="482"/>
        <w:rPr>
          <w:sz w:val="24"/>
          <w:szCs w:val="24"/>
        </w:rPr>
      </w:pPr>
      <w:r>
        <w:rPr>
          <w:rFonts w:hint="eastAsia"/>
          <w:b/>
          <w:sz w:val="24"/>
          <w:szCs w:val="24"/>
        </w:rPr>
        <w:t>风险提示</w:t>
      </w:r>
      <w:r>
        <w:rPr>
          <w:rFonts w:hint="eastAsia"/>
          <w:sz w:val="24"/>
          <w:szCs w:val="24"/>
        </w:rPr>
        <w:t>：基金管理人承诺以诚实信用、勤勉尽责的原则管理和运用基金财产，但不保证基金一定盈利，也不保证最低收益。本公司提醒投资者在投资前应认真阅读上述各基金的基金合同、招募说明书等信息披露文件。敬请投资者注意投资风险。</w:t>
      </w:r>
    </w:p>
    <w:p w:rsidR="00E27D33" w:rsidRDefault="00C656D5">
      <w:pPr>
        <w:spacing w:line="360" w:lineRule="auto"/>
        <w:ind w:firstLineChars="200" w:firstLine="480"/>
        <w:rPr>
          <w:sz w:val="24"/>
          <w:szCs w:val="24"/>
        </w:rPr>
      </w:pPr>
      <w:r>
        <w:rPr>
          <w:rFonts w:hint="eastAsia"/>
          <w:sz w:val="24"/>
          <w:szCs w:val="24"/>
        </w:rPr>
        <w:t>特此公告。</w:t>
      </w:r>
    </w:p>
    <w:p w:rsidR="00E27D33" w:rsidRDefault="00E27D33">
      <w:pPr>
        <w:spacing w:line="360" w:lineRule="auto"/>
      </w:pPr>
    </w:p>
    <w:p w:rsidR="00E27D33" w:rsidRDefault="00C656D5">
      <w:pPr>
        <w:spacing w:line="360" w:lineRule="auto"/>
        <w:jc w:val="right"/>
        <w:rPr>
          <w:b/>
          <w:sz w:val="28"/>
          <w:szCs w:val="28"/>
        </w:rPr>
      </w:pPr>
      <w:r>
        <w:rPr>
          <w:rFonts w:hint="eastAsia"/>
          <w:b/>
          <w:sz w:val="28"/>
          <w:szCs w:val="28"/>
        </w:rPr>
        <w:t>兴银基金管理有限责任公司</w:t>
      </w:r>
    </w:p>
    <w:p w:rsidR="00E27D33" w:rsidRDefault="00C656D5">
      <w:pPr>
        <w:spacing w:line="360" w:lineRule="auto"/>
        <w:jc w:val="right"/>
        <w:rPr>
          <w:b/>
          <w:sz w:val="28"/>
          <w:szCs w:val="28"/>
        </w:rPr>
      </w:pPr>
      <w:r>
        <w:rPr>
          <w:rFonts w:ascii="Times New Roman" w:hAnsi="Times New Roman" w:cs="Times New Roman" w:hint="eastAsia"/>
          <w:b/>
          <w:sz w:val="28"/>
          <w:szCs w:val="28"/>
        </w:rPr>
        <w:t>2024</w:t>
      </w:r>
      <w:r>
        <w:rPr>
          <w:rFonts w:hint="eastAsia"/>
          <w:b/>
          <w:sz w:val="28"/>
          <w:szCs w:val="28"/>
        </w:rPr>
        <w:t>年</w:t>
      </w:r>
      <w:r>
        <w:rPr>
          <w:rFonts w:ascii="Times New Roman" w:hAnsi="Times New Roman" w:cs="Times New Roman" w:hint="eastAsia"/>
          <w:b/>
          <w:sz w:val="28"/>
          <w:szCs w:val="28"/>
        </w:rPr>
        <w:t>4</w:t>
      </w:r>
      <w:r>
        <w:rPr>
          <w:rFonts w:hint="eastAsia"/>
          <w:b/>
          <w:sz w:val="28"/>
          <w:szCs w:val="28"/>
        </w:rPr>
        <w:t>月</w:t>
      </w:r>
      <w:r>
        <w:rPr>
          <w:rFonts w:hint="eastAsia"/>
          <w:b/>
          <w:sz w:val="28"/>
          <w:szCs w:val="28"/>
        </w:rPr>
        <w:t>22</w:t>
      </w:r>
      <w:r>
        <w:rPr>
          <w:rFonts w:hint="eastAsia"/>
          <w:b/>
          <w:sz w:val="28"/>
          <w:szCs w:val="28"/>
        </w:rPr>
        <w:t>日</w:t>
      </w:r>
    </w:p>
    <w:sectPr w:rsidR="00E27D33" w:rsidSect="00E27D3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33" w:rsidRDefault="00E27D33" w:rsidP="00E27D33">
      <w:r>
        <w:separator/>
      </w:r>
    </w:p>
  </w:endnote>
  <w:endnote w:type="continuationSeparator" w:id="0">
    <w:p w:rsidR="00E27D33" w:rsidRDefault="00E27D33" w:rsidP="00E27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6611"/>
    </w:sdtPr>
    <w:sdtContent>
      <w:p w:rsidR="00E27D33" w:rsidRDefault="00E27D33">
        <w:pPr>
          <w:pStyle w:val="a5"/>
          <w:jc w:val="center"/>
        </w:pPr>
        <w:r w:rsidRPr="00E27D33">
          <w:fldChar w:fldCharType="begin"/>
        </w:r>
        <w:r w:rsidR="00C656D5">
          <w:instrText xml:space="preserve"> PAGE   \* MERGEFORMAT </w:instrText>
        </w:r>
        <w:r w:rsidRPr="00E27D33">
          <w:fldChar w:fldCharType="separate"/>
        </w:r>
        <w:r w:rsidR="00C656D5" w:rsidRPr="00C656D5">
          <w:rPr>
            <w:noProof/>
            <w:lang w:val="zh-CN"/>
          </w:rPr>
          <w:t>1</w:t>
        </w:r>
        <w:r>
          <w:rPr>
            <w:lang w:val="zh-CN"/>
          </w:rPr>
          <w:fldChar w:fldCharType="end"/>
        </w:r>
      </w:p>
    </w:sdtContent>
  </w:sdt>
  <w:p w:rsidR="00E27D33" w:rsidRDefault="00E27D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33" w:rsidRDefault="00E27D33" w:rsidP="00E27D33">
      <w:r>
        <w:separator/>
      </w:r>
    </w:p>
  </w:footnote>
  <w:footnote w:type="continuationSeparator" w:id="0">
    <w:p w:rsidR="00E27D33" w:rsidRDefault="00E27D33" w:rsidP="00E27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EwMWZkMGE2OTE3MzQ1MWMwYzc1MDY5ZmJkOTQ5OGUifQ=="/>
  </w:docVars>
  <w:rsids>
    <w:rsidRoot w:val="00FD6090"/>
    <w:rsid w:val="00024423"/>
    <w:rsid w:val="00136689"/>
    <w:rsid w:val="00142517"/>
    <w:rsid w:val="00161021"/>
    <w:rsid w:val="001A1C46"/>
    <w:rsid w:val="001A1CF7"/>
    <w:rsid w:val="001B66A6"/>
    <w:rsid w:val="001D6591"/>
    <w:rsid w:val="001E4F8B"/>
    <w:rsid w:val="001F4505"/>
    <w:rsid w:val="001F6DAD"/>
    <w:rsid w:val="00205DDC"/>
    <w:rsid w:val="00206FBC"/>
    <w:rsid w:val="00220976"/>
    <w:rsid w:val="00245A53"/>
    <w:rsid w:val="00263ACB"/>
    <w:rsid w:val="0028306F"/>
    <w:rsid w:val="002963A1"/>
    <w:rsid w:val="0035345C"/>
    <w:rsid w:val="004127CD"/>
    <w:rsid w:val="004314D7"/>
    <w:rsid w:val="004440F4"/>
    <w:rsid w:val="004800B8"/>
    <w:rsid w:val="0048423A"/>
    <w:rsid w:val="004D1C36"/>
    <w:rsid w:val="004D1E38"/>
    <w:rsid w:val="004D356A"/>
    <w:rsid w:val="004F0529"/>
    <w:rsid w:val="00530D2E"/>
    <w:rsid w:val="005522E0"/>
    <w:rsid w:val="00582912"/>
    <w:rsid w:val="00587B80"/>
    <w:rsid w:val="005A0CC6"/>
    <w:rsid w:val="005B0EFA"/>
    <w:rsid w:val="005B28C0"/>
    <w:rsid w:val="00604249"/>
    <w:rsid w:val="00616EB2"/>
    <w:rsid w:val="00635038"/>
    <w:rsid w:val="006C4821"/>
    <w:rsid w:val="007018DD"/>
    <w:rsid w:val="00730038"/>
    <w:rsid w:val="00774837"/>
    <w:rsid w:val="007C46C0"/>
    <w:rsid w:val="008011A1"/>
    <w:rsid w:val="00824AE1"/>
    <w:rsid w:val="0084477B"/>
    <w:rsid w:val="008736D5"/>
    <w:rsid w:val="00890A09"/>
    <w:rsid w:val="008C6687"/>
    <w:rsid w:val="008D1921"/>
    <w:rsid w:val="00917F1C"/>
    <w:rsid w:val="009271F6"/>
    <w:rsid w:val="009576F9"/>
    <w:rsid w:val="009966A0"/>
    <w:rsid w:val="009E1453"/>
    <w:rsid w:val="009F6A99"/>
    <w:rsid w:val="00A04BC3"/>
    <w:rsid w:val="00A04D08"/>
    <w:rsid w:val="00A071D2"/>
    <w:rsid w:val="00A2087D"/>
    <w:rsid w:val="00AF7846"/>
    <w:rsid w:val="00B61D8C"/>
    <w:rsid w:val="00BB198A"/>
    <w:rsid w:val="00BB2F11"/>
    <w:rsid w:val="00BE1A5D"/>
    <w:rsid w:val="00BE5BC7"/>
    <w:rsid w:val="00C656D5"/>
    <w:rsid w:val="00D547E8"/>
    <w:rsid w:val="00E27D33"/>
    <w:rsid w:val="00E51377"/>
    <w:rsid w:val="00E60E29"/>
    <w:rsid w:val="00E6183D"/>
    <w:rsid w:val="00E92070"/>
    <w:rsid w:val="00ED232C"/>
    <w:rsid w:val="00F50901"/>
    <w:rsid w:val="00F56D73"/>
    <w:rsid w:val="00F57F78"/>
    <w:rsid w:val="00FB6909"/>
    <w:rsid w:val="00FD6090"/>
    <w:rsid w:val="00FE4105"/>
    <w:rsid w:val="14535A5B"/>
    <w:rsid w:val="23462A81"/>
    <w:rsid w:val="276734B3"/>
    <w:rsid w:val="30136977"/>
    <w:rsid w:val="48A90F3C"/>
    <w:rsid w:val="52FE4D9E"/>
    <w:rsid w:val="57856723"/>
    <w:rsid w:val="73AE76D8"/>
    <w:rsid w:val="7D0F3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3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E27D33"/>
    <w:pPr>
      <w:jc w:val="left"/>
    </w:pPr>
  </w:style>
  <w:style w:type="paragraph" w:styleId="a4">
    <w:name w:val="Balloon Text"/>
    <w:basedOn w:val="a"/>
    <w:link w:val="Char0"/>
    <w:autoRedefine/>
    <w:uiPriority w:val="99"/>
    <w:semiHidden/>
    <w:unhideWhenUsed/>
    <w:qFormat/>
    <w:rsid w:val="00E27D33"/>
    <w:rPr>
      <w:sz w:val="18"/>
      <w:szCs w:val="18"/>
    </w:rPr>
  </w:style>
  <w:style w:type="paragraph" w:styleId="a5">
    <w:name w:val="footer"/>
    <w:basedOn w:val="a"/>
    <w:link w:val="Char1"/>
    <w:autoRedefine/>
    <w:uiPriority w:val="99"/>
    <w:unhideWhenUsed/>
    <w:qFormat/>
    <w:rsid w:val="00E27D33"/>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E27D3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E27D33"/>
    <w:rPr>
      <w:b/>
      <w:bCs/>
    </w:rPr>
  </w:style>
  <w:style w:type="table" w:styleId="a8">
    <w:name w:val="Table Grid"/>
    <w:basedOn w:val="a1"/>
    <w:autoRedefine/>
    <w:uiPriority w:val="59"/>
    <w:unhideWhenUsed/>
    <w:qFormat/>
    <w:rsid w:val="00E2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autoRedefine/>
    <w:uiPriority w:val="99"/>
    <w:unhideWhenUsed/>
    <w:qFormat/>
    <w:rsid w:val="00E27D33"/>
    <w:rPr>
      <w:color w:val="0000FF" w:themeColor="hyperlink"/>
      <w:u w:val="single"/>
    </w:rPr>
  </w:style>
  <w:style w:type="character" w:styleId="aa">
    <w:name w:val="annotation reference"/>
    <w:basedOn w:val="a0"/>
    <w:autoRedefine/>
    <w:uiPriority w:val="99"/>
    <w:semiHidden/>
    <w:unhideWhenUsed/>
    <w:qFormat/>
    <w:rsid w:val="00E27D33"/>
    <w:rPr>
      <w:sz w:val="21"/>
      <w:szCs w:val="21"/>
    </w:rPr>
  </w:style>
  <w:style w:type="character" w:customStyle="1" w:styleId="Char2">
    <w:name w:val="页眉 Char"/>
    <w:basedOn w:val="a0"/>
    <w:link w:val="a6"/>
    <w:autoRedefine/>
    <w:uiPriority w:val="99"/>
    <w:qFormat/>
    <w:rsid w:val="00E27D33"/>
    <w:rPr>
      <w:sz w:val="18"/>
      <w:szCs w:val="18"/>
    </w:rPr>
  </w:style>
  <w:style w:type="character" w:customStyle="1" w:styleId="Char1">
    <w:name w:val="页脚 Char"/>
    <w:basedOn w:val="a0"/>
    <w:link w:val="a5"/>
    <w:autoRedefine/>
    <w:uiPriority w:val="99"/>
    <w:qFormat/>
    <w:rsid w:val="00E27D33"/>
    <w:rPr>
      <w:sz w:val="18"/>
      <w:szCs w:val="18"/>
    </w:rPr>
  </w:style>
  <w:style w:type="character" w:customStyle="1" w:styleId="Char">
    <w:name w:val="批注文字 Char"/>
    <w:basedOn w:val="a0"/>
    <w:link w:val="a3"/>
    <w:autoRedefine/>
    <w:uiPriority w:val="99"/>
    <w:semiHidden/>
    <w:qFormat/>
    <w:rsid w:val="00E27D33"/>
    <w:rPr>
      <w:rFonts w:asciiTheme="minorHAnsi" w:eastAsiaTheme="minorEastAsia" w:hAnsiTheme="minorHAnsi" w:cstheme="minorBidi"/>
      <w:kern w:val="2"/>
      <w:sz w:val="21"/>
      <w:szCs w:val="22"/>
    </w:rPr>
  </w:style>
  <w:style w:type="character" w:customStyle="1" w:styleId="Char3">
    <w:name w:val="批注主题 Char"/>
    <w:basedOn w:val="Char"/>
    <w:link w:val="a7"/>
    <w:autoRedefine/>
    <w:uiPriority w:val="99"/>
    <w:semiHidden/>
    <w:qFormat/>
    <w:rsid w:val="00E27D33"/>
    <w:rPr>
      <w:rFonts w:asciiTheme="minorHAnsi" w:eastAsiaTheme="minorEastAsia" w:hAnsiTheme="minorHAnsi" w:cstheme="minorBidi"/>
      <w:b/>
      <w:bCs/>
      <w:kern w:val="2"/>
      <w:sz w:val="21"/>
      <w:szCs w:val="22"/>
    </w:rPr>
  </w:style>
  <w:style w:type="character" w:customStyle="1" w:styleId="Char0">
    <w:name w:val="批注框文本 Char"/>
    <w:basedOn w:val="a0"/>
    <w:link w:val="a4"/>
    <w:autoRedefine/>
    <w:uiPriority w:val="99"/>
    <w:semiHidden/>
    <w:qFormat/>
    <w:rsid w:val="00E27D33"/>
    <w:rPr>
      <w:rFonts w:asciiTheme="minorHAnsi" w:eastAsiaTheme="minorEastAsia" w:hAnsiTheme="minorHAnsi" w:cstheme="minorBidi"/>
      <w:kern w:val="2"/>
      <w:sz w:val="18"/>
      <w:szCs w:val="18"/>
    </w:rPr>
  </w:style>
  <w:style w:type="character" w:customStyle="1" w:styleId="font01">
    <w:name w:val="font01"/>
    <w:basedOn w:val="a0"/>
    <w:autoRedefine/>
    <w:qFormat/>
    <w:rsid w:val="00E27D33"/>
    <w:rPr>
      <w:rFonts w:ascii="Arial" w:hAnsi="Arial" w:cs="Arial"/>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1567</Characters>
  <Application>Microsoft Office Word</Application>
  <DocSecurity>4</DocSecurity>
  <Lines>13</Lines>
  <Paragraphs>3</Paragraphs>
  <ScaleCrop>false</ScaleCrop>
  <Company>Hfzq LTD.</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郑经枢</dc:creator>
  <cp:lastModifiedBy>ZHONGM</cp:lastModifiedBy>
  <cp:revision>2</cp:revision>
  <dcterms:created xsi:type="dcterms:W3CDTF">2024-04-21T16:03:00Z</dcterms:created>
  <dcterms:modified xsi:type="dcterms:W3CDTF">2024-04-21T16:03:00Z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06DDB31443FF464FA0D5769171A74055_13</vt:lpwstr>
  </property>
</Properties>
</file>