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88" w:rsidRPr="00C86027" w:rsidRDefault="00996177" w:rsidP="002A42DB">
      <w:pPr>
        <w:spacing w:beforeLines="100" w:afterLines="100" w:line="500" w:lineRule="exact"/>
        <w:jc w:val="center"/>
        <w:rPr>
          <w:rFonts w:ascii="Times New Roman" w:eastAsia="宋体" w:hAnsi="Times New Roman" w:cs="Times New Roman"/>
          <w:b/>
          <w:bCs/>
          <w:sz w:val="32"/>
          <w:szCs w:val="28"/>
        </w:rPr>
      </w:pPr>
      <w:r w:rsidRPr="00C86027">
        <w:rPr>
          <w:rFonts w:ascii="Times New Roman" w:eastAsia="宋体" w:hAnsi="Times New Roman" w:cs="Times New Roman" w:hint="eastAsia"/>
          <w:b/>
          <w:bCs/>
          <w:sz w:val="32"/>
          <w:szCs w:val="28"/>
        </w:rPr>
        <w:t>中金安徽交控高速公路封闭式基础设施证券投资基金关于二〇二四年二季度投资者开放日暨走进原始权益人活动的公告</w:t>
      </w:r>
    </w:p>
    <w:p w:rsidR="00DE6C88" w:rsidRPr="00AF05B2" w:rsidRDefault="00DE6C88" w:rsidP="002A42DB">
      <w:pPr>
        <w:spacing w:beforeLines="100" w:afterLines="100" w:line="500" w:lineRule="exact"/>
        <w:rPr>
          <w:rFonts w:ascii="Times New Roman" w:eastAsia="宋体" w:hAnsi="Times New Roman" w:cs="Times New Roman"/>
          <w:b/>
          <w:bCs/>
          <w:sz w:val="28"/>
          <w:szCs w:val="28"/>
        </w:rPr>
      </w:pPr>
      <w:r w:rsidRPr="00AF05B2">
        <w:rPr>
          <w:rFonts w:ascii="Times New Roman" w:eastAsia="宋体" w:hAnsi="Times New Roman" w:cs="Times New Roman"/>
          <w:b/>
          <w:bCs/>
          <w:sz w:val="28"/>
          <w:szCs w:val="28"/>
        </w:rPr>
        <w:t>一、公募</w:t>
      </w:r>
      <w:r w:rsidRPr="00AF05B2">
        <w:rPr>
          <w:rFonts w:ascii="Times New Roman" w:eastAsia="宋体" w:hAnsi="Times New Roman" w:cs="Times New Roman"/>
          <w:b/>
          <w:bCs/>
          <w:sz w:val="28"/>
          <w:szCs w:val="28"/>
        </w:rPr>
        <w:t>REITs</w:t>
      </w:r>
      <w:r w:rsidRPr="00AF05B2">
        <w:rPr>
          <w:rFonts w:ascii="Times New Roman" w:eastAsia="宋体" w:hAnsi="Times New Roman" w:cs="Times New Roman"/>
          <w:b/>
          <w:bCs/>
          <w:sz w:val="28"/>
          <w:szCs w:val="28"/>
        </w:rPr>
        <w:t>基本信息</w:t>
      </w:r>
    </w:p>
    <w:tbl>
      <w:tblPr>
        <w:tblStyle w:val="TableNormal"/>
        <w:tblW w:w="81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38"/>
        <w:gridCol w:w="5628"/>
      </w:tblGrid>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名称</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中金安徽交控高速公路封闭式基础设施证券投资基金</w:t>
            </w:r>
          </w:p>
        </w:tc>
      </w:tr>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简称</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中金安徽交控</w:t>
            </w:r>
            <w:r w:rsidRPr="000372F0">
              <w:rPr>
                <w:rFonts w:ascii="Times New Roman" w:hAnsi="Times New Roman" w:cs="Times New Roman"/>
                <w:color w:val="auto"/>
              </w:rPr>
              <w:t>REIT</w:t>
            </w:r>
          </w:p>
        </w:tc>
      </w:tr>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代码</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508009</w:t>
            </w:r>
          </w:p>
        </w:tc>
      </w:tr>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合同生效日</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2022</w:t>
            </w:r>
            <w:r w:rsidRPr="000372F0">
              <w:rPr>
                <w:rFonts w:ascii="Times New Roman" w:hAnsi="Times New Roman" w:cs="Times New Roman"/>
                <w:color w:val="auto"/>
              </w:rPr>
              <w:t>年</w:t>
            </w:r>
            <w:r w:rsidRPr="000372F0">
              <w:rPr>
                <w:rFonts w:ascii="Times New Roman" w:hAnsi="Times New Roman" w:cs="Times New Roman"/>
                <w:color w:val="auto"/>
              </w:rPr>
              <w:t>11</w:t>
            </w:r>
            <w:r w:rsidRPr="000372F0">
              <w:rPr>
                <w:rFonts w:ascii="Times New Roman" w:hAnsi="Times New Roman" w:cs="Times New Roman"/>
                <w:color w:val="auto"/>
              </w:rPr>
              <w:t>月</w:t>
            </w:r>
            <w:r w:rsidRPr="000372F0">
              <w:rPr>
                <w:rFonts w:ascii="Times New Roman" w:hAnsi="Times New Roman" w:cs="Times New Roman"/>
                <w:color w:val="auto"/>
              </w:rPr>
              <w:t>11</w:t>
            </w:r>
            <w:r w:rsidRPr="000372F0">
              <w:rPr>
                <w:rFonts w:ascii="Times New Roman" w:hAnsi="Times New Roman" w:cs="Times New Roman"/>
                <w:color w:val="auto"/>
              </w:rPr>
              <w:t>日</w:t>
            </w:r>
          </w:p>
        </w:tc>
      </w:tr>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基金管理人名称</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中金基金管理有限公司</w:t>
            </w:r>
          </w:p>
        </w:tc>
      </w:tr>
      <w:tr w:rsidR="00DE6C88" w:rsidRPr="000372F0" w:rsidTr="004019AF">
        <w:trPr>
          <w:trHeight w:val="567"/>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基金托管人名称</w:t>
            </w:r>
          </w:p>
        </w:tc>
        <w:tc>
          <w:tcPr>
            <w:tcW w:w="562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招商银行股份有限公司</w:t>
            </w:r>
          </w:p>
        </w:tc>
      </w:tr>
      <w:tr w:rsidR="00DE6C88" w:rsidRPr="000372F0" w:rsidTr="004019AF">
        <w:trPr>
          <w:trHeight w:val="2189"/>
        </w:trPr>
        <w:tc>
          <w:tcPr>
            <w:tcW w:w="2538" w:type="dxa"/>
            <w:vAlign w:val="center"/>
          </w:tcPr>
          <w:p w:rsidR="00DE6C88" w:rsidRPr="000372F0" w:rsidRDefault="00DE6C88" w:rsidP="004019AF">
            <w:pPr>
              <w:pStyle w:val="a3"/>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公告依据</w:t>
            </w:r>
          </w:p>
        </w:tc>
        <w:tc>
          <w:tcPr>
            <w:tcW w:w="5628" w:type="dxa"/>
            <w:vAlign w:val="center"/>
          </w:tcPr>
          <w:p w:rsidR="00DE6C88" w:rsidRPr="000372F0" w:rsidRDefault="00DE6C88" w:rsidP="004019AF">
            <w:pPr>
              <w:pStyle w:val="a3"/>
              <w:snapToGrid w:val="0"/>
              <w:spacing w:before="0" w:beforeAutospacing="0" w:after="0" w:afterAutospacing="0" w:line="240" w:lineRule="auto"/>
              <w:ind w:leftChars="50" w:left="105" w:rightChars="50" w:right="105" w:firstLineChars="0" w:firstLine="0"/>
              <w:jc w:val="both"/>
              <w:rPr>
                <w:rFonts w:ascii="Times New Roman" w:hAnsi="Times New Roman" w:cs="Times New Roman"/>
                <w:color w:val="auto"/>
              </w:rPr>
            </w:pPr>
            <w:r w:rsidRPr="000372F0">
              <w:rPr>
                <w:rFonts w:ascii="Times New Roman" w:hAnsi="Times New Roman" w:cs="Times New Roman"/>
                <w:color w:val="auto"/>
              </w:rPr>
              <w:t>《中华人民共和国证券投资基金法》及配套法规、《公开募集基础设施证券投资基金指引（试行）》、《上海证券交易所公开募集基础设施证券投资基金（</w:t>
            </w:r>
            <w:r w:rsidRPr="000372F0">
              <w:rPr>
                <w:rFonts w:ascii="Times New Roman" w:hAnsi="Times New Roman" w:cs="Times New Roman"/>
                <w:color w:val="auto"/>
              </w:rPr>
              <w:t>REITs</w:t>
            </w:r>
            <w:r w:rsidRPr="000372F0">
              <w:rPr>
                <w:rFonts w:ascii="Times New Roman" w:hAnsi="Times New Roman" w:cs="Times New Roman"/>
                <w:color w:val="auto"/>
              </w:rPr>
              <w:t>）业务办法（试行）》、</w:t>
            </w:r>
            <w:r>
              <w:rPr>
                <w:rFonts w:ascii="Times New Roman" w:hAnsi="Times New Roman" w:cs="Times New Roman" w:hint="eastAsia"/>
                <w:color w:val="auto"/>
              </w:rPr>
              <w:t>《</w:t>
            </w:r>
            <w:r w:rsidRPr="000372F0">
              <w:rPr>
                <w:rFonts w:ascii="Times New Roman" w:hAnsi="Times New Roman" w:cs="Times New Roman"/>
                <w:color w:val="auto"/>
              </w:rPr>
              <w:t>上海证券交易所公开募集基础设施证券投资基金（</w:t>
            </w:r>
            <w:r w:rsidRPr="000372F0">
              <w:rPr>
                <w:rFonts w:ascii="Times New Roman" w:hAnsi="Times New Roman" w:cs="Times New Roman"/>
                <w:color w:val="auto"/>
              </w:rPr>
              <w:t>REITs</w:t>
            </w:r>
            <w:r w:rsidRPr="000372F0">
              <w:rPr>
                <w:rFonts w:ascii="Times New Roman" w:hAnsi="Times New Roman" w:cs="Times New Roman"/>
                <w:color w:val="auto"/>
              </w:rPr>
              <w:t>）规则适用指引第</w:t>
            </w:r>
            <w:r w:rsidRPr="000372F0">
              <w:rPr>
                <w:rFonts w:ascii="Times New Roman" w:hAnsi="Times New Roman" w:cs="Times New Roman"/>
                <w:color w:val="auto"/>
              </w:rPr>
              <w:t>5</w:t>
            </w:r>
            <w:r w:rsidRPr="000372F0">
              <w:rPr>
                <w:rFonts w:ascii="Times New Roman" w:hAnsi="Times New Roman" w:cs="Times New Roman"/>
                <w:color w:val="auto"/>
              </w:rPr>
              <w:t>号</w:t>
            </w:r>
            <w:r w:rsidRPr="000372F0">
              <w:rPr>
                <w:rFonts w:ascii="Times New Roman" w:hAnsi="Times New Roman" w:cs="Times New Roman"/>
                <w:color w:val="auto"/>
              </w:rPr>
              <w:t>——</w:t>
            </w:r>
            <w:r w:rsidRPr="000372F0">
              <w:rPr>
                <w:rFonts w:ascii="Times New Roman" w:hAnsi="Times New Roman" w:cs="Times New Roman"/>
                <w:color w:val="auto"/>
              </w:rPr>
              <w:t>临时报告（试行）</w:t>
            </w:r>
            <w:r>
              <w:rPr>
                <w:rFonts w:ascii="Times New Roman" w:hAnsi="Times New Roman" w:cs="Times New Roman" w:hint="eastAsia"/>
                <w:color w:val="auto"/>
              </w:rPr>
              <w:t>》</w:t>
            </w:r>
            <w:r w:rsidRPr="000372F0">
              <w:rPr>
                <w:rFonts w:ascii="Times New Roman" w:hAnsi="Times New Roman" w:cs="Times New Roman"/>
                <w:color w:val="auto"/>
              </w:rPr>
              <w:t>、《中金安徽交控高速公路封闭式基础设施证券投资基金基金合同》、《中金安徽交控高速公路封闭式基础设施证券投资基金招募说明书》及其更新等</w:t>
            </w:r>
          </w:p>
        </w:tc>
      </w:tr>
    </w:tbl>
    <w:p w:rsidR="00996177" w:rsidRPr="00AF05B2" w:rsidRDefault="00996177" w:rsidP="002A42DB">
      <w:pPr>
        <w:spacing w:beforeLines="100" w:afterLines="100" w:line="500" w:lineRule="exact"/>
        <w:rPr>
          <w:rFonts w:ascii="Times New Roman" w:eastAsia="宋体" w:hAnsi="Times New Roman" w:cs="Times New Roman"/>
          <w:b/>
          <w:bCs/>
          <w:sz w:val="28"/>
          <w:szCs w:val="28"/>
        </w:rPr>
      </w:pPr>
      <w:r w:rsidRPr="00996177">
        <w:rPr>
          <w:rFonts w:ascii="Times New Roman" w:eastAsia="宋体" w:hAnsi="Times New Roman" w:cs="Times New Roman"/>
          <w:b/>
          <w:bCs/>
          <w:sz w:val="28"/>
          <w:szCs w:val="28"/>
        </w:rPr>
        <w:t>二、本次投资者开放日活动内容</w:t>
      </w:r>
    </w:p>
    <w:p w:rsidR="00996177" w:rsidRPr="00AF05B2" w:rsidRDefault="00996177" w:rsidP="004610A1">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996177">
        <w:rPr>
          <w:rFonts w:ascii="Times New Roman" w:hAnsi="Times New Roman" w:cs="Times New Roman"/>
          <w:color w:val="auto"/>
          <w:szCs w:val="28"/>
        </w:rPr>
        <w:t>为便于广大投资者更全面深入地了解</w:t>
      </w:r>
      <w:r w:rsidR="00820634" w:rsidRPr="00AF05B2">
        <w:rPr>
          <w:rFonts w:ascii="Times New Roman" w:hAnsi="Times New Roman" w:cs="Times New Roman" w:hint="eastAsia"/>
          <w:color w:val="auto"/>
          <w:szCs w:val="28"/>
        </w:rPr>
        <w:t>中金安徽交控高速公路封闭式基础设施证券投资基金</w:t>
      </w:r>
      <w:r w:rsidRPr="00996177">
        <w:rPr>
          <w:rFonts w:ascii="Times New Roman" w:hAnsi="Times New Roman" w:cs="Times New Roman"/>
          <w:color w:val="auto"/>
          <w:szCs w:val="28"/>
        </w:rPr>
        <w:t>（以下称</w:t>
      </w:r>
      <w:r w:rsidRPr="00996177">
        <w:rPr>
          <w:rFonts w:ascii="Times New Roman" w:hAnsi="Times New Roman" w:cs="Times New Roman"/>
          <w:color w:val="auto"/>
          <w:szCs w:val="28"/>
        </w:rPr>
        <w:t>“</w:t>
      </w:r>
      <w:r w:rsidRPr="00996177">
        <w:rPr>
          <w:rFonts w:ascii="Times New Roman" w:hAnsi="Times New Roman" w:cs="Times New Roman"/>
          <w:color w:val="auto"/>
          <w:szCs w:val="28"/>
        </w:rPr>
        <w:t>本基金</w:t>
      </w:r>
      <w:r w:rsidRPr="00996177">
        <w:rPr>
          <w:rFonts w:ascii="Times New Roman" w:hAnsi="Times New Roman" w:cs="Times New Roman"/>
          <w:color w:val="auto"/>
          <w:szCs w:val="28"/>
        </w:rPr>
        <w:t>”</w:t>
      </w:r>
      <w:r w:rsidRPr="00996177">
        <w:rPr>
          <w:rFonts w:ascii="Times New Roman" w:hAnsi="Times New Roman" w:cs="Times New Roman"/>
          <w:color w:val="auto"/>
          <w:szCs w:val="28"/>
        </w:rPr>
        <w:t>或</w:t>
      </w:r>
      <w:r w:rsidRPr="00996177">
        <w:rPr>
          <w:rFonts w:ascii="Times New Roman" w:hAnsi="Times New Roman" w:cs="Times New Roman"/>
          <w:color w:val="auto"/>
          <w:szCs w:val="28"/>
        </w:rPr>
        <w:t>“</w:t>
      </w:r>
      <w:r w:rsidRPr="00996177">
        <w:rPr>
          <w:rFonts w:ascii="Times New Roman" w:hAnsi="Times New Roman" w:cs="Times New Roman"/>
          <w:color w:val="auto"/>
          <w:szCs w:val="28"/>
        </w:rPr>
        <w:t>中金</w:t>
      </w:r>
      <w:r w:rsidR="00820634" w:rsidRPr="00AF05B2">
        <w:rPr>
          <w:rFonts w:ascii="Times New Roman" w:hAnsi="Times New Roman" w:cs="Times New Roman" w:hint="eastAsia"/>
          <w:color w:val="auto"/>
          <w:szCs w:val="28"/>
        </w:rPr>
        <w:t>安徽交控</w:t>
      </w:r>
      <w:r w:rsidRPr="00996177">
        <w:rPr>
          <w:rFonts w:ascii="Times New Roman" w:hAnsi="Times New Roman" w:cs="Times New Roman"/>
          <w:color w:val="auto"/>
          <w:szCs w:val="28"/>
        </w:rPr>
        <w:t>REIT”</w:t>
      </w:r>
      <w:r w:rsidRPr="00996177">
        <w:rPr>
          <w:rFonts w:ascii="Times New Roman" w:hAnsi="Times New Roman" w:cs="Times New Roman"/>
          <w:color w:val="auto"/>
          <w:szCs w:val="28"/>
        </w:rPr>
        <w:t>）的经营成果、财务状况及底层基础设施资产运作状况，并与原始权益人、外部管理机构深入沟通，拟于</w:t>
      </w:r>
      <w:r w:rsidR="00820634" w:rsidRPr="00AF05B2">
        <w:rPr>
          <w:rFonts w:ascii="Times New Roman" w:hAnsi="Times New Roman" w:cs="Times New Roman"/>
          <w:color w:val="auto"/>
          <w:szCs w:val="28"/>
        </w:rPr>
        <w:t>4</w:t>
      </w:r>
      <w:r w:rsidRPr="00996177">
        <w:rPr>
          <w:rFonts w:ascii="Times New Roman" w:hAnsi="Times New Roman" w:cs="Times New Roman"/>
          <w:color w:val="auto"/>
          <w:szCs w:val="28"/>
        </w:rPr>
        <w:t>月</w:t>
      </w:r>
      <w:r w:rsidR="00820634" w:rsidRPr="00AF05B2">
        <w:rPr>
          <w:rFonts w:ascii="Times New Roman" w:hAnsi="Times New Roman" w:cs="Times New Roman"/>
          <w:color w:val="auto"/>
          <w:szCs w:val="28"/>
        </w:rPr>
        <w:t>25</w:t>
      </w:r>
      <w:r w:rsidRPr="00996177">
        <w:rPr>
          <w:rFonts w:ascii="Times New Roman" w:hAnsi="Times New Roman" w:cs="Times New Roman"/>
          <w:color w:val="auto"/>
          <w:szCs w:val="28"/>
        </w:rPr>
        <w:t>日举行本基金投资者开放日活动。此次活动将举行现场会议及项目现场调研，原始权益人、外部管理机构及基金管理人将在符合信息披露规定的前提下，就投资者问题进行交流和解答</w:t>
      </w:r>
      <w:bookmarkStart w:id="0" w:name="_GoBack"/>
      <w:bookmarkEnd w:id="0"/>
      <w:r w:rsidRPr="00996177">
        <w:rPr>
          <w:rFonts w:ascii="Times New Roman" w:hAnsi="Times New Roman" w:cs="Times New Roman"/>
          <w:color w:val="auto"/>
          <w:szCs w:val="28"/>
        </w:rPr>
        <w:t>。</w:t>
      </w:r>
    </w:p>
    <w:p w:rsidR="00820634" w:rsidRPr="00C86027" w:rsidRDefault="00996177" w:rsidP="002A42DB">
      <w:pPr>
        <w:spacing w:beforeLines="100" w:afterLines="100" w:line="500" w:lineRule="exact"/>
        <w:rPr>
          <w:rFonts w:ascii="Times New Roman" w:eastAsia="宋体" w:hAnsi="Times New Roman" w:cs="Times New Roman"/>
          <w:b/>
          <w:bCs/>
          <w:sz w:val="28"/>
          <w:szCs w:val="28"/>
        </w:rPr>
      </w:pPr>
      <w:r w:rsidRPr="00996177">
        <w:rPr>
          <w:rFonts w:ascii="Times New Roman" w:eastAsia="宋体" w:hAnsi="Times New Roman" w:cs="Times New Roman"/>
          <w:b/>
          <w:bCs/>
          <w:sz w:val="28"/>
          <w:szCs w:val="28"/>
        </w:rPr>
        <w:t>三、活动会召开的时间、地点、参与方式、日程安排</w:t>
      </w:r>
    </w:p>
    <w:p w:rsidR="00820634" w:rsidRPr="00AF05B2" w:rsidRDefault="00996177" w:rsidP="00AF05B2">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996177">
        <w:rPr>
          <w:rFonts w:ascii="Times New Roman" w:hAnsi="Times New Roman" w:cs="Times New Roman"/>
          <w:color w:val="auto"/>
          <w:szCs w:val="28"/>
        </w:rPr>
        <w:lastRenderedPageBreak/>
        <w:t>1.</w:t>
      </w:r>
      <w:r w:rsidRPr="00996177">
        <w:rPr>
          <w:rFonts w:ascii="Times New Roman" w:hAnsi="Times New Roman" w:cs="Times New Roman"/>
          <w:color w:val="auto"/>
          <w:szCs w:val="28"/>
        </w:rPr>
        <w:t>活动日期：</w:t>
      </w:r>
      <w:r w:rsidRPr="00996177">
        <w:rPr>
          <w:rFonts w:ascii="Times New Roman" w:hAnsi="Times New Roman" w:cs="Times New Roman"/>
          <w:color w:val="auto"/>
          <w:szCs w:val="28"/>
        </w:rPr>
        <w:t>202</w:t>
      </w:r>
      <w:r w:rsidR="001E0AD8" w:rsidRPr="00AF05B2">
        <w:rPr>
          <w:rFonts w:ascii="Times New Roman" w:hAnsi="Times New Roman" w:cs="Times New Roman"/>
          <w:color w:val="auto"/>
          <w:szCs w:val="28"/>
        </w:rPr>
        <w:t>4</w:t>
      </w:r>
      <w:r w:rsidRPr="00996177">
        <w:rPr>
          <w:rFonts w:ascii="Times New Roman" w:hAnsi="Times New Roman" w:cs="Times New Roman"/>
          <w:color w:val="auto"/>
          <w:szCs w:val="28"/>
        </w:rPr>
        <w:t>年</w:t>
      </w:r>
      <w:r w:rsidR="001E0AD8" w:rsidRPr="00AF05B2">
        <w:rPr>
          <w:rFonts w:ascii="Times New Roman" w:hAnsi="Times New Roman" w:cs="Times New Roman"/>
          <w:color w:val="auto"/>
          <w:szCs w:val="28"/>
        </w:rPr>
        <w:t>4</w:t>
      </w:r>
      <w:r w:rsidRPr="00996177">
        <w:rPr>
          <w:rFonts w:ascii="Times New Roman" w:hAnsi="Times New Roman" w:cs="Times New Roman"/>
          <w:color w:val="auto"/>
          <w:szCs w:val="28"/>
        </w:rPr>
        <w:t>月</w:t>
      </w:r>
      <w:r w:rsidR="001E0AD8" w:rsidRPr="00AF05B2">
        <w:rPr>
          <w:rFonts w:ascii="Times New Roman" w:hAnsi="Times New Roman" w:cs="Times New Roman"/>
          <w:color w:val="auto"/>
          <w:szCs w:val="28"/>
        </w:rPr>
        <w:t>25</w:t>
      </w:r>
      <w:r w:rsidRPr="00996177">
        <w:rPr>
          <w:rFonts w:ascii="Times New Roman" w:hAnsi="Times New Roman" w:cs="Times New Roman"/>
          <w:color w:val="auto"/>
          <w:szCs w:val="28"/>
        </w:rPr>
        <w:t>日</w:t>
      </w:r>
      <w:r w:rsidR="00AA7C03" w:rsidRPr="00AF05B2">
        <w:rPr>
          <w:rFonts w:ascii="Times New Roman" w:hAnsi="Times New Roman" w:cs="Times New Roman" w:hint="eastAsia"/>
          <w:color w:val="auto"/>
          <w:szCs w:val="28"/>
        </w:rPr>
        <w:t>（</w:t>
      </w:r>
      <w:r w:rsidR="00AA7C03" w:rsidRPr="00996177">
        <w:rPr>
          <w:rFonts w:ascii="Times New Roman" w:hAnsi="Times New Roman" w:cs="Times New Roman"/>
          <w:color w:val="auto"/>
          <w:szCs w:val="28"/>
        </w:rPr>
        <w:t>星期四</w:t>
      </w:r>
      <w:r w:rsidR="00AA7C03" w:rsidRPr="00AF05B2">
        <w:rPr>
          <w:rFonts w:ascii="Times New Roman" w:hAnsi="Times New Roman" w:cs="Times New Roman" w:hint="eastAsia"/>
          <w:color w:val="auto"/>
          <w:szCs w:val="28"/>
        </w:rPr>
        <w:t>）</w:t>
      </w:r>
    </w:p>
    <w:p w:rsidR="00820634" w:rsidRPr="00AF05B2" w:rsidRDefault="00996177" w:rsidP="00AF05B2">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996177">
        <w:rPr>
          <w:rFonts w:ascii="Times New Roman" w:hAnsi="Times New Roman" w:cs="Times New Roman"/>
          <w:color w:val="auto"/>
          <w:szCs w:val="28"/>
        </w:rPr>
        <w:t>2.</w:t>
      </w:r>
      <w:r w:rsidRPr="00996177">
        <w:rPr>
          <w:rFonts w:ascii="Times New Roman" w:hAnsi="Times New Roman" w:cs="Times New Roman"/>
          <w:color w:val="auto"/>
          <w:szCs w:val="28"/>
        </w:rPr>
        <w:t>活动地点：</w:t>
      </w:r>
      <w:r w:rsidR="001E0AD8" w:rsidRPr="00AF05B2">
        <w:rPr>
          <w:rFonts w:ascii="Times New Roman" w:hAnsi="Times New Roman" w:cs="Times New Roman" w:hint="eastAsia"/>
          <w:color w:val="auto"/>
          <w:szCs w:val="28"/>
        </w:rPr>
        <w:t>安徽</w:t>
      </w:r>
      <w:r w:rsidR="00AA7C03" w:rsidRPr="00AF05B2">
        <w:rPr>
          <w:rFonts w:ascii="Times New Roman" w:hAnsi="Times New Roman" w:cs="Times New Roman" w:hint="eastAsia"/>
          <w:color w:val="auto"/>
          <w:szCs w:val="28"/>
        </w:rPr>
        <w:t>省交通控股</w:t>
      </w:r>
      <w:r w:rsidR="001E0AD8" w:rsidRPr="00AF05B2">
        <w:rPr>
          <w:rFonts w:ascii="Times New Roman" w:hAnsi="Times New Roman" w:cs="Times New Roman" w:hint="eastAsia"/>
          <w:color w:val="auto"/>
          <w:szCs w:val="28"/>
        </w:rPr>
        <w:t>集团</w:t>
      </w:r>
      <w:r w:rsidR="00AA7C03" w:rsidRPr="00AF05B2">
        <w:rPr>
          <w:rFonts w:ascii="Times New Roman" w:hAnsi="Times New Roman" w:cs="Times New Roman" w:hint="eastAsia"/>
          <w:color w:val="auto"/>
          <w:szCs w:val="28"/>
        </w:rPr>
        <w:t>有限公司</w:t>
      </w:r>
      <w:r w:rsidRPr="00996177">
        <w:rPr>
          <w:rFonts w:ascii="Times New Roman" w:hAnsi="Times New Roman" w:cs="Times New Roman"/>
          <w:color w:val="auto"/>
          <w:szCs w:val="28"/>
        </w:rPr>
        <w:t>（地址：</w:t>
      </w:r>
      <w:r w:rsidR="001E0AD8" w:rsidRPr="00AF05B2">
        <w:rPr>
          <w:rFonts w:ascii="Times New Roman" w:hAnsi="Times New Roman" w:cs="Times New Roman" w:hint="eastAsia"/>
          <w:color w:val="auto"/>
          <w:szCs w:val="28"/>
        </w:rPr>
        <w:t>安徽省合肥市</w:t>
      </w:r>
      <w:r w:rsidR="00E7078B" w:rsidRPr="00AF05B2">
        <w:rPr>
          <w:rFonts w:ascii="Times New Roman" w:hAnsi="Times New Roman" w:cs="Times New Roman" w:hint="eastAsia"/>
          <w:color w:val="auto"/>
          <w:szCs w:val="28"/>
        </w:rPr>
        <w:t>包河区</w:t>
      </w:r>
      <w:r w:rsidR="001E0AD8" w:rsidRPr="00AF05B2">
        <w:rPr>
          <w:rFonts w:ascii="Times New Roman" w:hAnsi="Times New Roman" w:cs="Times New Roman" w:hint="eastAsia"/>
          <w:color w:val="auto"/>
          <w:szCs w:val="28"/>
        </w:rPr>
        <w:t>西藏路</w:t>
      </w:r>
      <w:r w:rsidR="001E0AD8" w:rsidRPr="00AF05B2">
        <w:rPr>
          <w:rFonts w:ascii="Times New Roman" w:hAnsi="Times New Roman" w:cs="Times New Roman" w:hint="eastAsia"/>
          <w:color w:val="auto"/>
          <w:szCs w:val="28"/>
        </w:rPr>
        <w:t>1</w:t>
      </w:r>
      <w:r w:rsidR="00E7078B" w:rsidRPr="00AF05B2">
        <w:rPr>
          <w:rFonts w:ascii="Times New Roman" w:hAnsi="Times New Roman" w:cs="Times New Roman"/>
          <w:color w:val="auto"/>
          <w:szCs w:val="28"/>
        </w:rPr>
        <w:t>666</w:t>
      </w:r>
      <w:r w:rsidR="001E0AD8" w:rsidRPr="00AF05B2">
        <w:rPr>
          <w:rFonts w:ascii="Times New Roman" w:hAnsi="Times New Roman" w:cs="Times New Roman" w:hint="eastAsia"/>
          <w:color w:val="auto"/>
          <w:szCs w:val="28"/>
        </w:rPr>
        <w:t>号</w:t>
      </w:r>
      <w:r w:rsidRPr="00996177">
        <w:rPr>
          <w:rFonts w:ascii="Times New Roman" w:hAnsi="Times New Roman" w:cs="Times New Roman"/>
          <w:color w:val="auto"/>
          <w:szCs w:val="28"/>
        </w:rPr>
        <w:t>）、</w:t>
      </w:r>
      <w:r w:rsidR="00AA4FB7" w:rsidRPr="00AF05B2">
        <w:rPr>
          <w:rFonts w:ascii="Times New Roman" w:hAnsi="Times New Roman" w:cs="Times New Roman" w:hint="eastAsia"/>
          <w:color w:val="auto"/>
          <w:szCs w:val="28"/>
        </w:rPr>
        <w:t>安徽交控集团</w:t>
      </w:r>
      <w:r w:rsidR="00AA7C03" w:rsidRPr="00AF05B2">
        <w:rPr>
          <w:rFonts w:ascii="Times New Roman" w:hAnsi="Times New Roman" w:cs="Times New Roman" w:hint="eastAsia"/>
          <w:color w:val="auto"/>
          <w:szCs w:val="28"/>
        </w:rPr>
        <w:t>沿江高速管理分公司</w:t>
      </w:r>
      <w:r w:rsidR="00AA4FB7" w:rsidRPr="00AF05B2">
        <w:rPr>
          <w:rFonts w:ascii="Times New Roman" w:hAnsi="Times New Roman" w:cs="Times New Roman" w:hint="eastAsia"/>
          <w:color w:val="auto"/>
          <w:szCs w:val="28"/>
        </w:rPr>
        <w:t>（安徽省池州市贵池区永明路</w:t>
      </w:r>
      <w:r w:rsidR="00AA4FB7" w:rsidRPr="00AF05B2">
        <w:rPr>
          <w:rFonts w:ascii="Times New Roman" w:hAnsi="Times New Roman" w:cs="Times New Roman" w:hint="eastAsia"/>
          <w:color w:val="auto"/>
          <w:szCs w:val="28"/>
        </w:rPr>
        <w:t>3</w:t>
      </w:r>
      <w:r w:rsidR="00AA4FB7" w:rsidRPr="00AF05B2">
        <w:rPr>
          <w:rFonts w:ascii="Times New Roman" w:hAnsi="Times New Roman" w:cs="Times New Roman"/>
          <w:color w:val="auto"/>
          <w:szCs w:val="28"/>
        </w:rPr>
        <w:t>99</w:t>
      </w:r>
      <w:r w:rsidR="00AA4FB7" w:rsidRPr="00AF05B2">
        <w:rPr>
          <w:rFonts w:ascii="Times New Roman" w:hAnsi="Times New Roman" w:cs="Times New Roman" w:hint="eastAsia"/>
          <w:color w:val="auto"/>
          <w:szCs w:val="28"/>
        </w:rPr>
        <w:t>号）</w:t>
      </w:r>
      <w:r w:rsidR="00AA7C03" w:rsidRPr="00AF05B2">
        <w:rPr>
          <w:rFonts w:ascii="Times New Roman" w:hAnsi="Times New Roman" w:cs="Times New Roman" w:hint="eastAsia"/>
          <w:color w:val="auto"/>
          <w:szCs w:val="28"/>
        </w:rPr>
        <w:t>、基础设施项目现场</w:t>
      </w:r>
    </w:p>
    <w:p w:rsidR="00996177" w:rsidRPr="00996177" w:rsidRDefault="00996177" w:rsidP="00AF05B2">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996177">
        <w:rPr>
          <w:rFonts w:ascii="Times New Roman" w:hAnsi="Times New Roman" w:cs="Times New Roman"/>
          <w:color w:val="auto"/>
          <w:szCs w:val="28"/>
        </w:rPr>
        <w:t>3.</w:t>
      </w:r>
      <w:r w:rsidRPr="00996177">
        <w:rPr>
          <w:rFonts w:ascii="Times New Roman" w:hAnsi="Times New Roman" w:cs="Times New Roman"/>
          <w:color w:val="auto"/>
          <w:szCs w:val="28"/>
        </w:rPr>
        <w:t>参与方式：现场会议，项目现场调研</w:t>
      </w:r>
    </w:p>
    <w:p w:rsidR="00107E54" w:rsidRPr="00AF05B2" w:rsidRDefault="00AA7C03" w:rsidP="00AF05B2">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AF05B2">
        <w:rPr>
          <w:rFonts w:ascii="Times New Roman" w:hAnsi="Times New Roman" w:cs="Times New Roman" w:hint="eastAsia"/>
          <w:color w:val="auto"/>
          <w:szCs w:val="28"/>
        </w:rPr>
        <w:t>4</w:t>
      </w:r>
      <w:r w:rsidRPr="00AF05B2">
        <w:rPr>
          <w:rFonts w:ascii="Times New Roman" w:hAnsi="Times New Roman" w:cs="Times New Roman"/>
          <w:color w:val="auto"/>
          <w:szCs w:val="28"/>
        </w:rPr>
        <w:t>.</w:t>
      </w:r>
      <w:r w:rsidRPr="00AF05B2">
        <w:rPr>
          <w:rFonts w:ascii="Times New Roman" w:hAnsi="Times New Roman" w:cs="Times New Roman" w:hint="eastAsia"/>
          <w:color w:val="auto"/>
          <w:szCs w:val="28"/>
        </w:rPr>
        <w:t>日程安排</w:t>
      </w:r>
    </w:p>
    <w:tbl>
      <w:tblPr>
        <w:tblStyle w:val="a4"/>
        <w:tblW w:w="5000" w:type="pct"/>
        <w:tblLook w:val="04A0"/>
      </w:tblPr>
      <w:tblGrid>
        <w:gridCol w:w="869"/>
        <w:gridCol w:w="2037"/>
        <w:gridCol w:w="3351"/>
        <w:gridCol w:w="2265"/>
      </w:tblGrid>
      <w:tr w:rsidR="00363B83" w:rsidTr="00C54568">
        <w:tc>
          <w:tcPr>
            <w:tcW w:w="510" w:type="pct"/>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Pr>
                <w:rFonts w:ascii="Times New Roman" w:hAnsi="Times New Roman" w:cs="Times New Roman" w:hint="eastAsia"/>
                <w:color w:val="auto"/>
                <w:szCs w:val="28"/>
              </w:rPr>
              <w:t>序号</w:t>
            </w:r>
          </w:p>
        </w:tc>
        <w:tc>
          <w:tcPr>
            <w:tcW w:w="1195"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时间</w:t>
            </w:r>
          </w:p>
        </w:tc>
        <w:tc>
          <w:tcPr>
            <w:tcW w:w="1966"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日程</w:t>
            </w:r>
          </w:p>
        </w:tc>
        <w:tc>
          <w:tcPr>
            <w:tcW w:w="1329"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地点</w:t>
            </w:r>
          </w:p>
        </w:tc>
      </w:tr>
      <w:tr w:rsidR="00363B83" w:rsidTr="00C54568">
        <w:tc>
          <w:tcPr>
            <w:tcW w:w="510" w:type="pct"/>
          </w:tcPr>
          <w:p w:rsidR="00363B83" w:rsidRDefault="00363B83" w:rsidP="00A91019">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Pr>
                <w:rFonts w:ascii="Times New Roman" w:hAnsi="Times New Roman" w:cs="Times New Roman" w:hint="eastAsia"/>
                <w:color w:val="auto"/>
                <w:szCs w:val="28"/>
              </w:rPr>
              <w:t>1</w:t>
            </w:r>
          </w:p>
        </w:tc>
        <w:tc>
          <w:tcPr>
            <w:tcW w:w="1195" w:type="pct"/>
            <w:vAlign w:val="center"/>
          </w:tcPr>
          <w:p w:rsidR="00363B83" w:rsidRPr="00243931" w:rsidRDefault="00363B83" w:rsidP="00A91019">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Pr>
                <w:rFonts w:ascii="Times New Roman" w:hAnsi="Times New Roman" w:cs="Times New Roman"/>
                <w:color w:val="auto"/>
                <w:szCs w:val="28"/>
              </w:rPr>
              <w:t>9</w:t>
            </w:r>
            <w:r>
              <w:rPr>
                <w:rFonts w:ascii="Times New Roman" w:hAnsi="Times New Roman" w:cs="Times New Roman" w:hint="eastAsia"/>
                <w:color w:val="auto"/>
                <w:szCs w:val="28"/>
              </w:rPr>
              <w:t>:</w:t>
            </w:r>
            <w:r>
              <w:rPr>
                <w:rFonts w:ascii="Times New Roman" w:hAnsi="Times New Roman" w:cs="Times New Roman"/>
                <w:color w:val="auto"/>
                <w:szCs w:val="28"/>
              </w:rPr>
              <w:t>00-11:0</w:t>
            </w:r>
            <w:r w:rsidRPr="00243931">
              <w:rPr>
                <w:rFonts w:ascii="Times New Roman" w:hAnsi="Times New Roman" w:cs="Times New Roman"/>
                <w:color w:val="auto"/>
                <w:szCs w:val="28"/>
              </w:rPr>
              <w:t>0</w:t>
            </w:r>
          </w:p>
        </w:tc>
        <w:tc>
          <w:tcPr>
            <w:tcW w:w="1966"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座谈会</w:t>
            </w:r>
          </w:p>
        </w:tc>
        <w:tc>
          <w:tcPr>
            <w:tcW w:w="1329"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合肥</w:t>
            </w:r>
          </w:p>
        </w:tc>
      </w:tr>
      <w:tr w:rsidR="00363B83" w:rsidTr="00C54568">
        <w:tc>
          <w:tcPr>
            <w:tcW w:w="510" w:type="pct"/>
          </w:tcPr>
          <w:p w:rsidR="00363B83" w:rsidRPr="00243931" w:rsidRDefault="00C54568" w:rsidP="00A91019">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Pr>
                <w:rFonts w:ascii="Times New Roman" w:hAnsi="Times New Roman" w:cs="Times New Roman" w:hint="eastAsia"/>
                <w:color w:val="auto"/>
                <w:szCs w:val="28"/>
              </w:rPr>
              <w:t>2</w:t>
            </w:r>
          </w:p>
        </w:tc>
        <w:tc>
          <w:tcPr>
            <w:tcW w:w="1195" w:type="pct"/>
            <w:vAlign w:val="center"/>
          </w:tcPr>
          <w:p w:rsidR="00363B83" w:rsidRPr="00243931" w:rsidRDefault="00363B83" w:rsidP="00A91019">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color w:val="auto"/>
                <w:szCs w:val="28"/>
              </w:rPr>
              <w:t>14</w:t>
            </w:r>
            <w:r w:rsidRPr="00243931">
              <w:rPr>
                <w:rFonts w:ascii="Times New Roman" w:hAnsi="Times New Roman" w:cs="Times New Roman" w:hint="eastAsia"/>
                <w:color w:val="auto"/>
                <w:szCs w:val="28"/>
              </w:rPr>
              <w:t>:</w:t>
            </w:r>
            <w:r>
              <w:rPr>
                <w:rFonts w:ascii="Times New Roman" w:hAnsi="Times New Roman" w:cs="Times New Roman"/>
                <w:color w:val="auto"/>
                <w:szCs w:val="28"/>
              </w:rPr>
              <w:t>3</w:t>
            </w:r>
            <w:r w:rsidRPr="00243931">
              <w:rPr>
                <w:rFonts w:ascii="Times New Roman" w:hAnsi="Times New Roman" w:cs="Times New Roman"/>
                <w:color w:val="auto"/>
                <w:szCs w:val="28"/>
              </w:rPr>
              <w:t>0-1</w:t>
            </w:r>
            <w:r>
              <w:rPr>
                <w:rFonts w:ascii="Times New Roman" w:hAnsi="Times New Roman" w:cs="Times New Roman"/>
                <w:color w:val="auto"/>
                <w:szCs w:val="28"/>
              </w:rPr>
              <w:t>7</w:t>
            </w:r>
            <w:r w:rsidRPr="00243931">
              <w:rPr>
                <w:rFonts w:ascii="Times New Roman" w:hAnsi="Times New Roman" w:cs="Times New Roman"/>
                <w:color w:val="auto"/>
                <w:szCs w:val="28"/>
              </w:rPr>
              <w:t>:</w:t>
            </w:r>
            <w:r>
              <w:rPr>
                <w:rFonts w:ascii="Times New Roman" w:hAnsi="Times New Roman" w:cs="Times New Roman"/>
                <w:color w:val="auto"/>
                <w:szCs w:val="28"/>
              </w:rPr>
              <w:t>0</w:t>
            </w:r>
            <w:r w:rsidRPr="00243931">
              <w:rPr>
                <w:rFonts w:ascii="Times New Roman" w:hAnsi="Times New Roman" w:cs="Times New Roman"/>
                <w:color w:val="auto"/>
                <w:szCs w:val="28"/>
              </w:rPr>
              <w:t>0</w:t>
            </w:r>
          </w:p>
        </w:tc>
        <w:tc>
          <w:tcPr>
            <w:tcW w:w="1966"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项目现场调研</w:t>
            </w:r>
          </w:p>
        </w:tc>
        <w:tc>
          <w:tcPr>
            <w:tcW w:w="1329" w:type="pct"/>
            <w:vAlign w:val="center"/>
          </w:tcPr>
          <w:p w:rsidR="00363B83" w:rsidRPr="00243931" w:rsidRDefault="00363B83" w:rsidP="00FA0C1D">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243931">
              <w:rPr>
                <w:rFonts w:ascii="Times New Roman" w:hAnsi="Times New Roman" w:cs="Times New Roman" w:hint="eastAsia"/>
                <w:color w:val="auto"/>
                <w:szCs w:val="28"/>
              </w:rPr>
              <w:t>池州</w:t>
            </w:r>
          </w:p>
        </w:tc>
      </w:tr>
    </w:tbl>
    <w:p w:rsidR="0028265A" w:rsidRPr="00C86027" w:rsidRDefault="0028265A" w:rsidP="002A42DB">
      <w:pPr>
        <w:spacing w:beforeLines="100" w:afterLines="100" w:line="500" w:lineRule="exact"/>
        <w:rPr>
          <w:rFonts w:ascii="Times New Roman" w:eastAsia="宋体" w:hAnsi="Times New Roman" w:cs="Times New Roman"/>
          <w:b/>
          <w:bCs/>
          <w:sz w:val="28"/>
          <w:szCs w:val="28"/>
        </w:rPr>
      </w:pPr>
      <w:r w:rsidRPr="00C86027">
        <w:rPr>
          <w:rFonts w:ascii="Times New Roman" w:eastAsia="宋体" w:hAnsi="Times New Roman" w:cs="Times New Roman"/>
          <w:b/>
          <w:bCs/>
          <w:sz w:val="28"/>
          <w:szCs w:val="28"/>
        </w:rPr>
        <w:t>四、参加人员</w:t>
      </w:r>
    </w:p>
    <w:p w:rsidR="0028265A" w:rsidRPr="00C86027" w:rsidRDefault="0028265A" w:rsidP="00C86027">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C86027">
        <w:rPr>
          <w:rFonts w:ascii="Times New Roman" w:hAnsi="Times New Roman" w:cs="Times New Roman"/>
          <w:color w:val="auto"/>
          <w:szCs w:val="28"/>
        </w:rPr>
        <w:t>中金</w:t>
      </w:r>
      <w:r w:rsidRPr="00C86027">
        <w:rPr>
          <w:rFonts w:ascii="Times New Roman" w:hAnsi="Times New Roman" w:cs="Times New Roman" w:hint="eastAsia"/>
          <w:color w:val="auto"/>
          <w:szCs w:val="28"/>
        </w:rPr>
        <w:t>安徽交控</w:t>
      </w:r>
      <w:r w:rsidRPr="00C86027">
        <w:rPr>
          <w:rFonts w:ascii="Times New Roman" w:hAnsi="Times New Roman" w:cs="Times New Roman"/>
          <w:color w:val="auto"/>
          <w:szCs w:val="28"/>
        </w:rPr>
        <w:t>REIT</w:t>
      </w:r>
      <w:r w:rsidRPr="00C86027">
        <w:rPr>
          <w:rFonts w:ascii="Times New Roman" w:hAnsi="Times New Roman" w:cs="Times New Roman"/>
          <w:color w:val="auto"/>
          <w:szCs w:val="28"/>
        </w:rPr>
        <w:t>原始权益人及外部管理机构相关业务负责人、基金经理、本基金投资者等。</w:t>
      </w:r>
      <w:r w:rsidRPr="00C86027">
        <w:rPr>
          <w:rFonts w:ascii="Times New Roman" w:hAnsi="Times New Roman" w:cs="Times New Roman"/>
          <w:color w:val="auto"/>
          <w:szCs w:val="28"/>
        </w:rPr>
        <w:t xml:space="preserve"> </w:t>
      </w:r>
    </w:p>
    <w:p w:rsidR="0028265A" w:rsidRPr="00C86027" w:rsidRDefault="0028265A" w:rsidP="002A42DB">
      <w:pPr>
        <w:spacing w:beforeLines="100" w:afterLines="100" w:line="500" w:lineRule="exact"/>
        <w:rPr>
          <w:rFonts w:ascii="Times New Roman" w:eastAsia="宋体" w:hAnsi="Times New Roman" w:cs="Times New Roman"/>
          <w:b/>
          <w:bCs/>
          <w:sz w:val="28"/>
          <w:szCs w:val="28"/>
        </w:rPr>
      </w:pPr>
      <w:r w:rsidRPr="00C86027">
        <w:rPr>
          <w:rFonts w:ascii="Times New Roman" w:eastAsia="宋体" w:hAnsi="Times New Roman" w:cs="Times New Roman"/>
          <w:b/>
          <w:bCs/>
          <w:sz w:val="28"/>
          <w:szCs w:val="28"/>
        </w:rPr>
        <w:t>五、投资者参与方式</w:t>
      </w:r>
    </w:p>
    <w:p w:rsidR="0043289D" w:rsidRPr="00C86027" w:rsidRDefault="0028265A" w:rsidP="0028265A">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C86027">
        <w:rPr>
          <w:rFonts w:ascii="Times New Roman" w:hAnsi="Times New Roman" w:cs="Times New Roman"/>
          <w:color w:val="auto"/>
          <w:szCs w:val="28"/>
        </w:rPr>
        <w:t>投资者可发送报名邮件至</w:t>
      </w:r>
      <w:r w:rsidRPr="00C86027">
        <w:rPr>
          <w:rFonts w:ascii="Times New Roman" w:hAnsi="Times New Roman" w:cs="Times New Roman"/>
          <w:color w:val="auto"/>
          <w:szCs w:val="28"/>
        </w:rPr>
        <w:t>ir_</w:t>
      </w:r>
      <w:r w:rsidR="00C07D41" w:rsidRPr="00C86027">
        <w:rPr>
          <w:rFonts w:ascii="Times New Roman" w:hAnsi="Times New Roman" w:cs="Times New Roman"/>
          <w:color w:val="auto"/>
          <w:szCs w:val="28"/>
        </w:rPr>
        <w:t>AHreit@ciccfund.com</w:t>
      </w:r>
      <w:r w:rsidRPr="00C86027">
        <w:rPr>
          <w:rFonts w:ascii="Times New Roman" w:hAnsi="Times New Roman" w:cs="Times New Roman"/>
          <w:color w:val="auto"/>
          <w:szCs w:val="28"/>
        </w:rPr>
        <w:t>进行报名。邮件主题为</w:t>
      </w:r>
      <w:r w:rsidRPr="00C86027">
        <w:rPr>
          <w:rFonts w:ascii="Times New Roman" w:hAnsi="Times New Roman" w:cs="Times New Roman"/>
          <w:color w:val="auto"/>
          <w:szCs w:val="28"/>
        </w:rPr>
        <w:t xml:space="preserve"> “</w:t>
      </w:r>
      <w:r w:rsidRPr="00C86027">
        <w:rPr>
          <w:rFonts w:ascii="Times New Roman" w:hAnsi="Times New Roman" w:cs="Times New Roman"/>
          <w:color w:val="auto"/>
          <w:szCs w:val="28"/>
        </w:rPr>
        <w:t>开放日报名</w:t>
      </w:r>
      <w:r w:rsidRPr="00C86027">
        <w:rPr>
          <w:rFonts w:ascii="Times New Roman" w:hAnsi="Times New Roman" w:cs="Times New Roman"/>
          <w:color w:val="auto"/>
          <w:szCs w:val="28"/>
        </w:rPr>
        <w:t>—</w:t>
      </w:r>
      <w:r w:rsidRPr="00C86027">
        <w:rPr>
          <w:rFonts w:ascii="Times New Roman" w:hAnsi="Times New Roman" w:cs="Times New Roman"/>
          <w:color w:val="auto"/>
          <w:szCs w:val="28"/>
        </w:rPr>
        <w:t>姓名</w:t>
      </w:r>
      <w:r w:rsidRPr="00C86027">
        <w:rPr>
          <w:rFonts w:ascii="Times New Roman" w:hAnsi="Times New Roman" w:cs="Times New Roman"/>
          <w:color w:val="auto"/>
          <w:szCs w:val="28"/>
        </w:rPr>
        <w:t>”</w:t>
      </w:r>
      <w:r w:rsidRPr="00C86027">
        <w:rPr>
          <w:rFonts w:ascii="Times New Roman" w:hAnsi="Times New Roman" w:cs="Times New Roman"/>
          <w:color w:val="auto"/>
          <w:szCs w:val="28"/>
        </w:rPr>
        <w:t>并填列以下报名表格，以及附相关身份证明扫描件（包括但不限于名片、工牌）报名参与投资者开放日活动，每家机构限报名</w:t>
      </w:r>
      <w:r w:rsidR="00F85A52" w:rsidRPr="00C86027">
        <w:rPr>
          <w:rFonts w:ascii="Times New Roman" w:hAnsi="Times New Roman" w:cs="Times New Roman"/>
          <w:color w:val="auto"/>
          <w:szCs w:val="28"/>
        </w:rPr>
        <w:t>2</w:t>
      </w:r>
      <w:r w:rsidRPr="00C86027">
        <w:rPr>
          <w:rFonts w:ascii="Times New Roman" w:hAnsi="Times New Roman" w:cs="Times New Roman"/>
          <w:color w:val="auto"/>
          <w:szCs w:val="28"/>
        </w:rPr>
        <w:t>人。</w:t>
      </w:r>
      <w:r w:rsidR="00045AFB" w:rsidRPr="00045AFB">
        <w:rPr>
          <w:rFonts w:ascii="Times New Roman" w:hAnsi="Times New Roman" w:cs="Times New Roman" w:hint="eastAsia"/>
          <w:b/>
          <w:color w:val="auto"/>
          <w:szCs w:val="28"/>
        </w:rPr>
        <w:t>投资者可报名参加单项日程并在备注中说明</w:t>
      </w:r>
      <w:r w:rsidR="00045AFB">
        <w:rPr>
          <w:rFonts w:ascii="Times New Roman" w:hAnsi="Times New Roman" w:cs="Times New Roman" w:hint="eastAsia"/>
          <w:color w:val="auto"/>
          <w:szCs w:val="28"/>
        </w:rPr>
        <w:t>。</w:t>
      </w:r>
      <w:r w:rsidRPr="00C86027">
        <w:rPr>
          <w:rFonts w:ascii="Times New Roman" w:hAnsi="Times New Roman" w:cs="Times New Roman"/>
          <w:color w:val="auto"/>
          <w:szCs w:val="28"/>
        </w:rPr>
        <w:t>报名截止时间为</w:t>
      </w:r>
      <w:r w:rsidR="00F85A52" w:rsidRPr="00C86027">
        <w:rPr>
          <w:rFonts w:ascii="Times New Roman" w:hAnsi="Times New Roman" w:cs="Times New Roman"/>
          <w:color w:val="auto"/>
          <w:szCs w:val="28"/>
        </w:rPr>
        <w:t>2</w:t>
      </w:r>
      <w:r w:rsidR="00C07D41" w:rsidRPr="00C86027">
        <w:rPr>
          <w:rFonts w:ascii="Times New Roman" w:hAnsi="Times New Roman" w:cs="Times New Roman"/>
          <w:color w:val="auto"/>
          <w:szCs w:val="28"/>
        </w:rPr>
        <w:t>024</w:t>
      </w:r>
      <w:r w:rsidRPr="00C86027">
        <w:rPr>
          <w:rFonts w:ascii="Times New Roman" w:hAnsi="Times New Roman" w:cs="Times New Roman"/>
          <w:color w:val="auto"/>
          <w:szCs w:val="28"/>
        </w:rPr>
        <w:t>年</w:t>
      </w:r>
      <w:r w:rsidR="00C07D41" w:rsidRPr="00C86027">
        <w:rPr>
          <w:rFonts w:ascii="Times New Roman" w:hAnsi="Times New Roman" w:cs="Times New Roman"/>
          <w:color w:val="auto"/>
          <w:szCs w:val="28"/>
        </w:rPr>
        <w:t>4</w:t>
      </w:r>
      <w:r w:rsidRPr="00C86027">
        <w:rPr>
          <w:rFonts w:ascii="Times New Roman" w:hAnsi="Times New Roman" w:cs="Times New Roman"/>
          <w:color w:val="auto"/>
          <w:szCs w:val="28"/>
        </w:rPr>
        <w:t>月</w:t>
      </w:r>
      <w:r w:rsidR="00C07D41" w:rsidRPr="00C86027">
        <w:rPr>
          <w:rFonts w:ascii="Times New Roman" w:hAnsi="Times New Roman" w:cs="Times New Roman"/>
          <w:color w:val="auto"/>
          <w:szCs w:val="28"/>
        </w:rPr>
        <w:t>2</w:t>
      </w:r>
      <w:r w:rsidR="006B359E">
        <w:rPr>
          <w:rFonts w:ascii="Times New Roman" w:hAnsi="Times New Roman" w:cs="Times New Roman"/>
          <w:color w:val="auto"/>
          <w:szCs w:val="28"/>
        </w:rPr>
        <w:t>3</w:t>
      </w:r>
      <w:r w:rsidRPr="00C86027">
        <w:rPr>
          <w:rFonts w:ascii="Times New Roman" w:hAnsi="Times New Roman" w:cs="Times New Roman"/>
          <w:color w:val="auto"/>
          <w:szCs w:val="28"/>
        </w:rPr>
        <w:t>日</w:t>
      </w:r>
      <w:r w:rsidRPr="00C86027">
        <w:rPr>
          <w:rFonts w:ascii="Times New Roman" w:hAnsi="Times New Roman" w:cs="Times New Roman"/>
          <w:color w:val="auto"/>
          <w:szCs w:val="28"/>
        </w:rPr>
        <w:t>15:00</w:t>
      </w:r>
      <w:r w:rsidRPr="00C86027">
        <w:rPr>
          <w:rFonts w:ascii="Times New Roman" w:hAnsi="Times New Roman" w:cs="Times New Roman"/>
          <w:color w:val="auto"/>
          <w:szCs w:val="28"/>
        </w:rPr>
        <w:t>。经审核后基金管理人将发送审核通知邮件，届时投资者凭审核通知邮件参加投资者开放日活动。</w:t>
      </w:r>
    </w:p>
    <w:tbl>
      <w:tblPr>
        <w:tblStyle w:val="a4"/>
        <w:tblW w:w="5000" w:type="pct"/>
        <w:tblLook w:val="04A0"/>
      </w:tblPr>
      <w:tblGrid>
        <w:gridCol w:w="1000"/>
        <w:gridCol w:w="1723"/>
        <w:gridCol w:w="999"/>
        <w:gridCol w:w="1721"/>
        <w:gridCol w:w="1687"/>
        <w:gridCol w:w="1392"/>
      </w:tblGrid>
      <w:tr w:rsidR="0043289D" w:rsidTr="00363B83">
        <w:trPr>
          <w:tblHeader/>
        </w:trPr>
        <w:tc>
          <w:tcPr>
            <w:tcW w:w="586"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姓名</w:t>
            </w:r>
          </w:p>
        </w:tc>
        <w:tc>
          <w:tcPr>
            <w:tcW w:w="1011"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单位名称</w:t>
            </w:r>
          </w:p>
        </w:tc>
        <w:tc>
          <w:tcPr>
            <w:tcW w:w="586"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职务</w:t>
            </w:r>
          </w:p>
        </w:tc>
        <w:tc>
          <w:tcPr>
            <w:tcW w:w="1010"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联系方式</w:t>
            </w:r>
          </w:p>
        </w:tc>
        <w:tc>
          <w:tcPr>
            <w:tcW w:w="990"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投资者问题</w:t>
            </w:r>
          </w:p>
        </w:tc>
        <w:tc>
          <w:tcPr>
            <w:tcW w:w="817" w:type="pct"/>
          </w:tcPr>
          <w:p w:rsidR="0043289D" w:rsidRPr="00C86027" w:rsidRDefault="0043289D" w:rsidP="00FE7BFA">
            <w:pPr>
              <w:pStyle w:val="a3"/>
              <w:snapToGrid w:val="0"/>
              <w:spacing w:before="0" w:beforeAutospacing="0" w:after="0" w:afterAutospacing="0" w:line="240" w:lineRule="auto"/>
              <w:ind w:firstLineChars="0" w:firstLine="0"/>
              <w:jc w:val="center"/>
              <w:rPr>
                <w:rFonts w:ascii="Times New Roman" w:hAnsi="Times New Roman" w:cs="Times New Roman"/>
                <w:color w:val="auto"/>
                <w:szCs w:val="28"/>
              </w:rPr>
            </w:pPr>
            <w:r w:rsidRPr="00C86027">
              <w:rPr>
                <w:rFonts w:ascii="Times New Roman" w:hAnsi="Times New Roman" w:cs="Times New Roman"/>
                <w:color w:val="auto"/>
                <w:szCs w:val="28"/>
              </w:rPr>
              <w:t>备注</w:t>
            </w:r>
          </w:p>
        </w:tc>
      </w:tr>
      <w:tr w:rsidR="0043289D" w:rsidTr="00363B83">
        <w:tc>
          <w:tcPr>
            <w:tcW w:w="586"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c>
          <w:tcPr>
            <w:tcW w:w="1011"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c>
          <w:tcPr>
            <w:tcW w:w="586"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c>
          <w:tcPr>
            <w:tcW w:w="1010"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c>
          <w:tcPr>
            <w:tcW w:w="990"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c>
          <w:tcPr>
            <w:tcW w:w="817" w:type="pct"/>
          </w:tcPr>
          <w:p w:rsidR="0043289D" w:rsidRPr="00C86027" w:rsidRDefault="0043289D" w:rsidP="0028265A">
            <w:pPr>
              <w:pStyle w:val="a3"/>
              <w:snapToGrid w:val="0"/>
              <w:spacing w:before="0" w:beforeAutospacing="0" w:after="0" w:afterAutospacing="0" w:line="360" w:lineRule="auto"/>
              <w:ind w:firstLineChars="0" w:firstLine="0"/>
              <w:jc w:val="both"/>
              <w:rPr>
                <w:rFonts w:ascii="Times New Roman" w:hAnsi="Times New Roman" w:cs="Times New Roman"/>
                <w:color w:val="auto"/>
                <w:szCs w:val="28"/>
              </w:rPr>
            </w:pPr>
          </w:p>
        </w:tc>
      </w:tr>
    </w:tbl>
    <w:p w:rsidR="00F85A52" w:rsidRDefault="00F85A52" w:rsidP="0028265A">
      <w:pPr>
        <w:pStyle w:val="a3"/>
        <w:snapToGrid w:val="0"/>
        <w:spacing w:before="0" w:beforeAutospacing="0" w:after="0" w:afterAutospacing="0" w:line="360" w:lineRule="auto"/>
        <w:ind w:firstLine="560"/>
        <w:jc w:val="both"/>
        <w:rPr>
          <w:rFonts w:ascii="Times New Roman" w:hAnsi="Times New Roman" w:cs="Times New Roman"/>
          <w:color w:val="auto"/>
          <w:sz w:val="28"/>
          <w:szCs w:val="28"/>
        </w:rPr>
      </w:pPr>
    </w:p>
    <w:p w:rsidR="0028265A" w:rsidRPr="00C86027" w:rsidRDefault="0028265A" w:rsidP="00C86027">
      <w:pPr>
        <w:pStyle w:val="a3"/>
        <w:snapToGrid w:val="0"/>
        <w:spacing w:before="0" w:beforeAutospacing="0" w:after="0" w:afterAutospacing="0" w:line="360" w:lineRule="auto"/>
        <w:ind w:firstLine="480"/>
        <w:jc w:val="both"/>
        <w:rPr>
          <w:rFonts w:ascii="Times New Roman" w:hAnsi="Times New Roman" w:cs="Times New Roman"/>
          <w:color w:val="auto"/>
          <w:szCs w:val="28"/>
        </w:rPr>
      </w:pPr>
      <w:r w:rsidRPr="00C86027">
        <w:rPr>
          <w:rFonts w:ascii="Times New Roman" w:hAnsi="Times New Roman" w:cs="Times New Roman"/>
          <w:color w:val="auto"/>
          <w:szCs w:val="28"/>
        </w:rPr>
        <w:t>特此公告。</w:t>
      </w:r>
    </w:p>
    <w:p w:rsidR="00F85A52" w:rsidRDefault="00F85A52" w:rsidP="00C07D41">
      <w:pPr>
        <w:pStyle w:val="a3"/>
        <w:snapToGrid w:val="0"/>
        <w:spacing w:before="0" w:beforeAutospacing="0" w:after="0" w:afterAutospacing="0" w:line="360" w:lineRule="auto"/>
        <w:ind w:firstLine="560"/>
        <w:jc w:val="right"/>
        <w:rPr>
          <w:rFonts w:ascii="Times New Roman" w:hAnsi="Times New Roman" w:cs="Times New Roman"/>
          <w:color w:val="auto"/>
          <w:sz w:val="28"/>
          <w:szCs w:val="28"/>
        </w:rPr>
      </w:pPr>
    </w:p>
    <w:p w:rsidR="00AA7C03" w:rsidRPr="00C86027" w:rsidRDefault="0028265A" w:rsidP="00C07D41">
      <w:pPr>
        <w:pStyle w:val="a3"/>
        <w:snapToGrid w:val="0"/>
        <w:spacing w:before="0" w:beforeAutospacing="0" w:after="0" w:afterAutospacing="0" w:line="360" w:lineRule="auto"/>
        <w:ind w:firstLine="480"/>
        <w:jc w:val="right"/>
        <w:rPr>
          <w:rFonts w:ascii="Times New Roman" w:hAnsi="Times New Roman" w:cs="Times New Roman"/>
          <w:color w:val="auto"/>
          <w:szCs w:val="28"/>
        </w:rPr>
      </w:pPr>
      <w:r w:rsidRPr="00C86027">
        <w:rPr>
          <w:rFonts w:ascii="Times New Roman" w:hAnsi="Times New Roman" w:cs="Times New Roman"/>
          <w:color w:val="auto"/>
          <w:szCs w:val="28"/>
        </w:rPr>
        <w:t>中金基金管理有限公司</w:t>
      </w:r>
    </w:p>
    <w:p w:rsidR="00F85A52" w:rsidRPr="00C86027" w:rsidRDefault="00F85A52" w:rsidP="00C07D41">
      <w:pPr>
        <w:pStyle w:val="a3"/>
        <w:snapToGrid w:val="0"/>
        <w:spacing w:before="0" w:beforeAutospacing="0" w:after="0" w:afterAutospacing="0" w:line="360" w:lineRule="auto"/>
        <w:ind w:firstLine="480"/>
        <w:jc w:val="right"/>
        <w:rPr>
          <w:rFonts w:ascii="Times New Roman" w:hAnsi="Times New Roman" w:cs="Times New Roman"/>
          <w:color w:val="auto"/>
          <w:szCs w:val="28"/>
        </w:rPr>
      </w:pPr>
      <w:r w:rsidRPr="00C86027">
        <w:rPr>
          <w:rFonts w:ascii="Times New Roman" w:hAnsi="Times New Roman" w:cs="Times New Roman" w:hint="eastAsia"/>
          <w:color w:val="auto"/>
          <w:szCs w:val="28"/>
        </w:rPr>
        <w:t>2</w:t>
      </w:r>
      <w:r w:rsidRPr="00C86027">
        <w:rPr>
          <w:rFonts w:ascii="Times New Roman" w:hAnsi="Times New Roman" w:cs="Times New Roman"/>
          <w:color w:val="auto"/>
          <w:szCs w:val="28"/>
        </w:rPr>
        <w:t>024</w:t>
      </w:r>
      <w:r w:rsidRPr="00C86027">
        <w:rPr>
          <w:rFonts w:ascii="Times New Roman" w:hAnsi="Times New Roman" w:cs="Times New Roman" w:hint="eastAsia"/>
          <w:color w:val="auto"/>
          <w:szCs w:val="28"/>
        </w:rPr>
        <w:t>年</w:t>
      </w:r>
      <w:r w:rsidRPr="00C86027">
        <w:rPr>
          <w:rFonts w:ascii="Times New Roman" w:hAnsi="Times New Roman" w:cs="Times New Roman" w:hint="eastAsia"/>
          <w:color w:val="auto"/>
          <w:szCs w:val="28"/>
        </w:rPr>
        <w:t>4</w:t>
      </w:r>
      <w:r w:rsidRPr="00C86027">
        <w:rPr>
          <w:rFonts w:ascii="Times New Roman" w:hAnsi="Times New Roman" w:cs="Times New Roman" w:hint="eastAsia"/>
          <w:color w:val="auto"/>
          <w:szCs w:val="28"/>
        </w:rPr>
        <w:t>月</w:t>
      </w:r>
      <w:r w:rsidR="006B359E">
        <w:rPr>
          <w:rFonts w:ascii="Times New Roman" w:hAnsi="Times New Roman" w:cs="Times New Roman"/>
          <w:color w:val="auto"/>
          <w:szCs w:val="28"/>
        </w:rPr>
        <w:t>20</w:t>
      </w:r>
      <w:r w:rsidRPr="00C86027">
        <w:rPr>
          <w:rFonts w:ascii="Times New Roman" w:hAnsi="Times New Roman" w:cs="Times New Roman" w:hint="eastAsia"/>
          <w:color w:val="auto"/>
          <w:szCs w:val="28"/>
        </w:rPr>
        <w:t>日</w:t>
      </w:r>
    </w:p>
    <w:sectPr w:rsidR="00F85A52" w:rsidRPr="00C86027" w:rsidSect="007D45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3DEF"/>
    <w:rsid w:val="00045AFB"/>
    <w:rsid w:val="000638F5"/>
    <w:rsid w:val="00152AA1"/>
    <w:rsid w:val="00181F29"/>
    <w:rsid w:val="001E0AD8"/>
    <w:rsid w:val="00243931"/>
    <w:rsid w:val="0028265A"/>
    <w:rsid w:val="002A42DB"/>
    <w:rsid w:val="00363B83"/>
    <w:rsid w:val="0043289D"/>
    <w:rsid w:val="004610A1"/>
    <w:rsid w:val="00623DEF"/>
    <w:rsid w:val="006B359E"/>
    <w:rsid w:val="007D4552"/>
    <w:rsid w:val="008128F1"/>
    <w:rsid w:val="00820634"/>
    <w:rsid w:val="00833333"/>
    <w:rsid w:val="008A5D1A"/>
    <w:rsid w:val="00996177"/>
    <w:rsid w:val="00A91019"/>
    <w:rsid w:val="00AA17E8"/>
    <w:rsid w:val="00AA4FB7"/>
    <w:rsid w:val="00AA7C03"/>
    <w:rsid w:val="00AF05B2"/>
    <w:rsid w:val="00C07D41"/>
    <w:rsid w:val="00C54568"/>
    <w:rsid w:val="00C86027"/>
    <w:rsid w:val="00D37E2A"/>
    <w:rsid w:val="00DE6C88"/>
    <w:rsid w:val="00E7078B"/>
    <w:rsid w:val="00F85A52"/>
    <w:rsid w:val="00FA0C1D"/>
    <w:rsid w:val="00FE7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DE6C88"/>
    <w:rPr>
      <w:rFonts w:ascii="Arial" w:hAnsi="Arial" w:cs="Arial"/>
      <w:kern w:val="0"/>
      <w:sz w:val="20"/>
      <w:szCs w:val="20"/>
    </w:rPr>
    <w:tblPr>
      <w:tblCellMar>
        <w:top w:w="0" w:type="dxa"/>
        <w:left w:w="0" w:type="dxa"/>
        <w:bottom w:w="0" w:type="dxa"/>
        <w:right w:w="0" w:type="dxa"/>
      </w:tblCellMar>
    </w:tblPr>
  </w:style>
  <w:style w:type="paragraph" w:styleId="a3">
    <w:name w:val="Normal (Web)"/>
    <w:basedOn w:val="a"/>
    <w:uiPriority w:val="99"/>
    <w:rsid w:val="00DE6C88"/>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table" w:styleId="a4">
    <w:name w:val="Table Grid"/>
    <w:basedOn w:val="a1"/>
    <w:uiPriority w:val="39"/>
    <w:rsid w:val="0081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007109">
      <w:bodyDiv w:val="1"/>
      <w:marLeft w:val="0"/>
      <w:marRight w:val="0"/>
      <w:marTop w:val="0"/>
      <w:marBottom w:val="0"/>
      <w:divBdr>
        <w:top w:val="none" w:sz="0" w:space="0" w:color="auto"/>
        <w:left w:val="none" w:sz="0" w:space="0" w:color="auto"/>
        <w:bottom w:val="none" w:sz="0" w:space="0" w:color="auto"/>
        <w:right w:val="none" w:sz="0" w:space="0" w:color="auto"/>
      </w:divBdr>
      <w:divsChild>
        <w:div w:id="957564115">
          <w:marLeft w:val="0"/>
          <w:marRight w:val="0"/>
          <w:marTop w:val="0"/>
          <w:marBottom w:val="0"/>
          <w:divBdr>
            <w:top w:val="none" w:sz="0" w:space="0" w:color="auto"/>
            <w:left w:val="none" w:sz="0" w:space="0" w:color="auto"/>
            <w:bottom w:val="none" w:sz="0" w:space="0" w:color="auto"/>
            <w:right w:val="none" w:sz="0" w:space="0" w:color="auto"/>
          </w:divBdr>
          <w:divsChild>
            <w:div w:id="1740903654">
              <w:marLeft w:val="0"/>
              <w:marRight w:val="0"/>
              <w:marTop w:val="0"/>
              <w:marBottom w:val="0"/>
              <w:divBdr>
                <w:top w:val="none" w:sz="0" w:space="0" w:color="auto"/>
                <w:left w:val="none" w:sz="0" w:space="0" w:color="auto"/>
                <w:bottom w:val="none" w:sz="0" w:space="0" w:color="auto"/>
                <w:right w:val="none" w:sz="0" w:space="0" w:color="auto"/>
              </w:divBdr>
            </w:div>
          </w:divsChild>
        </w:div>
        <w:div w:id="654576226">
          <w:marLeft w:val="0"/>
          <w:marRight w:val="0"/>
          <w:marTop w:val="0"/>
          <w:marBottom w:val="0"/>
          <w:divBdr>
            <w:top w:val="none" w:sz="0" w:space="0" w:color="auto"/>
            <w:left w:val="none" w:sz="0" w:space="0" w:color="auto"/>
            <w:bottom w:val="none" w:sz="0" w:space="0" w:color="auto"/>
            <w:right w:val="none" w:sz="0" w:space="0" w:color="auto"/>
          </w:divBdr>
          <w:divsChild>
            <w:div w:id="20067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1D6D-7F31-4F2E-AB14-B52BB9EB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4</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Yaqiong Wu</dc:creator>
  <cp:keywords/>
  <dc:description/>
  <cp:lastModifiedBy>ZHONGM</cp:lastModifiedBy>
  <cp:revision>2</cp:revision>
  <dcterms:created xsi:type="dcterms:W3CDTF">2024-04-19T16:02:00Z</dcterms:created>
  <dcterms:modified xsi:type="dcterms:W3CDTF">2024-04-19T16:02:00Z</dcterms:modified>
</cp:coreProperties>
</file>