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2246E" w:rsidRDefault="00295BC3">
      <w:pPr>
        <w:jc w:val="center"/>
        <w:rPr>
          <w:rFonts w:ascii="宋体" w:hAnsi="宋体"/>
          <w:b/>
          <w:sz w:val="48"/>
          <w:szCs w:val="48"/>
        </w:rPr>
      </w:pPr>
      <w:bookmarkStart w:id="0" w:name="t_6_0_table"/>
      <w:bookmarkEnd w:id="0"/>
      <w:r>
        <w:rPr>
          <w:rFonts w:ascii="宋体" w:hAnsi="宋体" w:hint="eastAsia"/>
          <w:b/>
          <w:sz w:val="48"/>
          <w:szCs w:val="48"/>
        </w:rPr>
        <w:t>中航基金管理有限公司</w:t>
      </w:r>
    </w:p>
    <w:p w:rsidR="004864C9" w:rsidRDefault="00295BC3">
      <w:pPr>
        <w:jc w:val="center"/>
        <w:rPr>
          <w:rFonts w:ascii="宋体" w:hAnsi="宋体" w:hint="eastAsia"/>
          <w:b/>
          <w:sz w:val="48"/>
          <w:szCs w:val="48"/>
        </w:rPr>
      </w:pPr>
      <w:r>
        <w:rPr>
          <w:rFonts w:ascii="宋体" w:hAnsi="宋体" w:hint="eastAsia"/>
          <w:b/>
          <w:sz w:val="48"/>
          <w:szCs w:val="48"/>
        </w:rPr>
        <w:t>关于中航首钢生物质封闭式基础设施证券投资基金收益分配的公告</w:t>
      </w:r>
    </w:p>
    <w:p w:rsidR="004864C9" w:rsidRDefault="004864C9">
      <w:pPr>
        <w:jc w:val="center"/>
        <w:rPr>
          <w:rFonts w:ascii="宋体" w:hAnsi="宋体" w:hint="eastAsia"/>
          <w:sz w:val="48"/>
          <w:szCs w:val="48"/>
        </w:rPr>
      </w:pPr>
    </w:p>
    <w:p w:rsidR="004864C9" w:rsidRDefault="004864C9">
      <w:pPr>
        <w:jc w:val="center"/>
        <w:rPr>
          <w:rFonts w:ascii="宋体" w:hAnsi="宋体" w:hint="eastAsia"/>
          <w:sz w:val="30"/>
          <w:szCs w:val="30"/>
        </w:rPr>
      </w:pPr>
      <w:bookmarkStart w:id="1" w:name="t_6_0_0002_a2_fm1"/>
      <w:bookmarkEnd w:id="1"/>
    </w:p>
    <w:p w:rsidR="004864C9" w:rsidRDefault="004864C9">
      <w:pPr>
        <w:jc w:val="center"/>
        <w:rPr>
          <w:rFonts w:ascii="宋体" w:hAnsi="宋体" w:hint="eastAsia"/>
          <w:sz w:val="30"/>
          <w:szCs w:val="30"/>
        </w:rPr>
      </w:pPr>
    </w:p>
    <w:p w:rsidR="004864C9" w:rsidRDefault="004864C9">
      <w:pPr>
        <w:jc w:val="center"/>
        <w:rPr>
          <w:rFonts w:ascii="宋体" w:hAnsi="宋体" w:hint="eastAsia"/>
          <w:sz w:val="30"/>
          <w:szCs w:val="30"/>
        </w:rPr>
      </w:pPr>
    </w:p>
    <w:p w:rsidR="004864C9" w:rsidRDefault="004864C9">
      <w:pPr>
        <w:jc w:val="center"/>
        <w:rPr>
          <w:rFonts w:ascii="宋体" w:hAnsi="宋体" w:hint="eastAsia"/>
          <w:sz w:val="30"/>
          <w:szCs w:val="30"/>
        </w:rPr>
      </w:pPr>
    </w:p>
    <w:p w:rsidR="004864C9" w:rsidRDefault="004864C9">
      <w:pPr>
        <w:jc w:val="center"/>
        <w:rPr>
          <w:rFonts w:ascii="宋体" w:hAnsi="宋体" w:hint="eastAsia"/>
          <w:sz w:val="30"/>
          <w:szCs w:val="30"/>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ind w:left="2100" w:firstLine="420"/>
        <w:rPr>
          <w:rFonts w:hint="eastAsia"/>
          <w:b/>
          <w:sz w:val="28"/>
          <w:szCs w:val="28"/>
        </w:rPr>
      </w:pPr>
      <w:r>
        <w:rPr>
          <w:rFonts w:ascii="宋体" w:hAnsi="宋体" w:hint="eastAsia"/>
          <w:b/>
          <w:sz w:val="28"/>
          <w:szCs w:val="28"/>
        </w:rPr>
        <w:t>公告</w:t>
      </w:r>
      <w:r>
        <w:rPr>
          <w:rFonts w:ascii="宋体" w:hAnsi="宋体"/>
          <w:b/>
          <w:sz w:val="28"/>
          <w:szCs w:val="28"/>
        </w:rPr>
        <w:t>送出日期：</w:t>
      </w:r>
      <w:bookmarkStart w:id="2" w:name="t_6_0_0003_a1_fm1"/>
      <w:bookmarkEnd w:id="2"/>
      <w:r w:rsidR="00295BC3">
        <w:rPr>
          <w:rFonts w:ascii="宋体" w:hAnsi="宋体"/>
          <w:b/>
          <w:sz w:val="28"/>
          <w:szCs w:val="28"/>
        </w:rPr>
        <w:t>2024年4月19日</w:t>
      </w: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3B2DCE" w:rsidRDefault="003B2DCE" w:rsidP="003B2DCE">
      <w:pPr>
        <w:pStyle w:val="2"/>
        <w:numPr>
          <w:ilvl w:val="0"/>
          <w:numId w:val="4"/>
        </w:numPr>
        <w:spacing w:beforeLines="50" w:afterLines="50" w:line="240" w:lineRule="auto"/>
        <w:jc w:val="left"/>
        <w:rPr>
          <w:rFonts w:ascii="宋体" w:eastAsia="宋体" w:hAnsi="宋体" w:hint="eastAsia"/>
          <w:bCs/>
          <w:sz w:val="24"/>
          <w:szCs w:val="24"/>
        </w:rPr>
      </w:pPr>
      <w:bookmarkStart w:id="3" w:name="t_qh_6_1_table"/>
      <w:bookmarkStart w:id="4" w:name="m01"/>
      <w:bookmarkStart w:id="5" w:name="_Hlk164068155"/>
      <w:bookmarkEnd w:id="3"/>
      <w:r>
        <w:rPr>
          <w:rFonts w:ascii="宋体" w:eastAsia="宋体" w:hAnsi="宋体" w:hint="eastAsia"/>
          <w:bCs/>
          <w:sz w:val="24"/>
          <w:szCs w:val="24"/>
        </w:rPr>
        <w:lastRenderedPageBreak/>
        <w:t>公募REITs基本信息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3"/>
        <w:gridCol w:w="2722"/>
        <w:gridCol w:w="3949"/>
      </w:tblGrid>
      <w:tr w:rsidR="003B2DCE" w:rsidTr="006E16CF">
        <w:trPr>
          <w:trHeight w:val="296"/>
          <w:jc w:val="center"/>
        </w:trPr>
        <w:tc>
          <w:tcPr>
            <w:tcW w:w="4795" w:type="dxa"/>
            <w:gridSpan w:val="2"/>
            <w:vAlign w:val="center"/>
          </w:tcPr>
          <w:p w:rsidR="003B2DCE" w:rsidRDefault="003B2DCE" w:rsidP="003B2DCE">
            <w:pPr>
              <w:rPr>
                <w:rFonts w:ascii="宋体" w:hAnsi="宋体" w:hint="eastAsia"/>
                <w:szCs w:val="21"/>
              </w:rPr>
            </w:pPr>
            <w:bookmarkStart w:id="6" w:name="m01_tab"/>
            <w:bookmarkEnd w:id="5"/>
            <w:r>
              <w:rPr>
                <w:rFonts w:ascii="宋体" w:hAnsi="宋体" w:hint="eastAsia"/>
                <w:szCs w:val="21"/>
              </w:rPr>
              <w:t>公募REITs名称</w:t>
            </w:r>
          </w:p>
        </w:tc>
        <w:tc>
          <w:tcPr>
            <w:tcW w:w="3949" w:type="dxa"/>
          </w:tcPr>
          <w:p w:rsidR="003B2DCE" w:rsidRDefault="003B2DCE" w:rsidP="003B2DCE">
            <w:pPr>
              <w:rPr>
                <w:rFonts w:ascii="宋体" w:hAnsi="宋体" w:hint="eastAsia"/>
                <w:szCs w:val="21"/>
              </w:rPr>
            </w:pPr>
            <w:bookmarkStart w:id="7" w:name="t_qh_6_1_0009_a1_fm1"/>
            <w:bookmarkEnd w:id="7"/>
            <w:r>
              <w:rPr>
                <w:rFonts w:ascii="宋体" w:hAnsi="宋体" w:hint="eastAsia"/>
                <w:szCs w:val="21"/>
              </w:rPr>
              <w:t>中航首钢生物质封闭式基础设施证券投资基金</w:t>
            </w:r>
          </w:p>
        </w:tc>
      </w:tr>
      <w:tr w:rsidR="003B2DCE" w:rsidTr="006E16CF">
        <w:trPr>
          <w:trHeight w:val="312"/>
          <w:jc w:val="center"/>
        </w:trPr>
        <w:tc>
          <w:tcPr>
            <w:tcW w:w="4795" w:type="dxa"/>
            <w:gridSpan w:val="2"/>
            <w:vAlign w:val="center"/>
          </w:tcPr>
          <w:p w:rsidR="003B2DCE" w:rsidRDefault="003B2DCE" w:rsidP="003B2DCE">
            <w:pPr>
              <w:rPr>
                <w:rFonts w:ascii="宋体" w:hAnsi="宋体" w:hint="eastAsia"/>
                <w:szCs w:val="21"/>
              </w:rPr>
            </w:pPr>
            <w:r>
              <w:rPr>
                <w:rFonts w:ascii="宋体" w:hAnsi="宋体" w:hint="eastAsia"/>
                <w:szCs w:val="21"/>
              </w:rPr>
              <w:t>公募REITs简称</w:t>
            </w:r>
          </w:p>
        </w:tc>
        <w:tc>
          <w:tcPr>
            <w:tcW w:w="3949" w:type="dxa"/>
          </w:tcPr>
          <w:p w:rsidR="003B2DCE" w:rsidRDefault="003B2DCE" w:rsidP="003B2DCE">
            <w:pPr>
              <w:rPr>
                <w:rFonts w:ascii="宋体" w:hAnsi="宋体" w:hint="eastAsia"/>
                <w:szCs w:val="21"/>
              </w:rPr>
            </w:pPr>
            <w:bookmarkStart w:id="8" w:name="t_qh_6_1_0011_a1_fm1"/>
            <w:bookmarkEnd w:id="8"/>
            <w:r>
              <w:rPr>
                <w:rFonts w:ascii="宋体" w:hAnsi="宋体" w:hint="eastAsia"/>
                <w:szCs w:val="21"/>
              </w:rPr>
              <w:t>中航首钢绿能</w:t>
            </w:r>
            <w:r>
              <w:rPr>
                <w:rFonts w:ascii="宋体" w:hAnsi="宋体"/>
                <w:szCs w:val="21"/>
              </w:rPr>
              <w:t>REIT</w:t>
            </w:r>
          </w:p>
        </w:tc>
      </w:tr>
      <w:tr w:rsidR="003B2DCE" w:rsidTr="006E16CF">
        <w:trPr>
          <w:trHeight w:val="296"/>
          <w:jc w:val="center"/>
        </w:trPr>
        <w:tc>
          <w:tcPr>
            <w:tcW w:w="4795" w:type="dxa"/>
            <w:gridSpan w:val="2"/>
            <w:vAlign w:val="center"/>
          </w:tcPr>
          <w:p w:rsidR="003B2DCE" w:rsidRDefault="003B2DCE" w:rsidP="003B2DCE">
            <w:pPr>
              <w:rPr>
                <w:rFonts w:ascii="宋体" w:hAnsi="宋体" w:hint="eastAsia"/>
                <w:szCs w:val="21"/>
              </w:rPr>
            </w:pPr>
            <w:r>
              <w:rPr>
                <w:rFonts w:ascii="宋体" w:hAnsi="宋体" w:hint="eastAsia"/>
                <w:szCs w:val="21"/>
              </w:rPr>
              <w:t>公募REITs代码</w:t>
            </w:r>
          </w:p>
        </w:tc>
        <w:tc>
          <w:tcPr>
            <w:tcW w:w="3949" w:type="dxa"/>
          </w:tcPr>
          <w:p w:rsidR="003B2DCE" w:rsidRDefault="003B2DCE" w:rsidP="003B2DCE">
            <w:pPr>
              <w:rPr>
                <w:rFonts w:ascii="宋体" w:hAnsi="宋体" w:hint="eastAsia"/>
                <w:szCs w:val="21"/>
              </w:rPr>
            </w:pPr>
            <w:bookmarkStart w:id="9" w:name="t_qh_6_1_0012_a1_fm1"/>
            <w:bookmarkEnd w:id="9"/>
            <w:r>
              <w:rPr>
                <w:rFonts w:ascii="宋体" w:hAnsi="宋体"/>
                <w:szCs w:val="21"/>
              </w:rPr>
              <w:t>180801</w:t>
            </w:r>
          </w:p>
        </w:tc>
      </w:tr>
      <w:tr w:rsidR="003B2DCE" w:rsidTr="006E16CF">
        <w:trPr>
          <w:trHeight w:val="296"/>
          <w:jc w:val="center"/>
        </w:trPr>
        <w:tc>
          <w:tcPr>
            <w:tcW w:w="4795" w:type="dxa"/>
            <w:gridSpan w:val="2"/>
            <w:vAlign w:val="center"/>
          </w:tcPr>
          <w:p w:rsidR="003B2DCE" w:rsidRDefault="003B2DCE" w:rsidP="003B2DCE">
            <w:pPr>
              <w:rPr>
                <w:rFonts w:ascii="宋体" w:hAnsi="宋体" w:hint="eastAsia"/>
                <w:szCs w:val="21"/>
              </w:rPr>
            </w:pPr>
            <w:r>
              <w:rPr>
                <w:rFonts w:ascii="宋体" w:hAnsi="宋体" w:hint="eastAsia"/>
                <w:szCs w:val="21"/>
              </w:rPr>
              <w:t>公募REITs合同生效日</w:t>
            </w:r>
          </w:p>
        </w:tc>
        <w:tc>
          <w:tcPr>
            <w:tcW w:w="3949" w:type="dxa"/>
          </w:tcPr>
          <w:p w:rsidR="003B2DCE" w:rsidRDefault="003B2DCE" w:rsidP="003B2DCE">
            <w:pPr>
              <w:rPr>
                <w:rFonts w:ascii="宋体" w:hAnsi="宋体" w:hint="eastAsia"/>
                <w:szCs w:val="21"/>
              </w:rPr>
            </w:pPr>
            <w:bookmarkStart w:id="10" w:name="t_qh_6_1_0018_a1_fm1"/>
            <w:bookmarkEnd w:id="10"/>
            <w:r>
              <w:rPr>
                <w:rFonts w:ascii="宋体" w:hAnsi="宋体"/>
                <w:szCs w:val="21"/>
              </w:rPr>
              <w:t>2021年6月7日</w:t>
            </w:r>
          </w:p>
        </w:tc>
      </w:tr>
      <w:tr w:rsidR="003B2DCE" w:rsidTr="00295BC3">
        <w:trPr>
          <w:trHeight w:val="312"/>
          <w:jc w:val="center"/>
        </w:trPr>
        <w:tc>
          <w:tcPr>
            <w:tcW w:w="4795" w:type="dxa"/>
            <w:gridSpan w:val="2"/>
          </w:tcPr>
          <w:p w:rsidR="003B2DCE" w:rsidRDefault="003B2DCE">
            <w:pPr>
              <w:rPr>
                <w:rFonts w:ascii="宋体" w:hAnsi="宋体" w:hint="eastAsia"/>
                <w:szCs w:val="21"/>
              </w:rPr>
            </w:pPr>
            <w:r>
              <w:rPr>
                <w:rFonts w:ascii="宋体" w:hAnsi="宋体" w:hint="eastAsia"/>
                <w:szCs w:val="21"/>
              </w:rPr>
              <w:t>基金管理人名称</w:t>
            </w:r>
          </w:p>
        </w:tc>
        <w:tc>
          <w:tcPr>
            <w:tcW w:w="3949" w:type="dxa"/>
          </w:tcPr>
          <w:p w:rsidR="003B2DCE" w:rsidRDefault="003B2DCE">
            <w:pPr>
              <w:rPr>
                <w:rFonts w:ascii="宋体" w:hAnsi="宋体" w:hint="eastAsia"/>
                <w:szCs w:val="21"/>
              </w:rPr>
            </w:pPr>
            <w:bookmarkStart w:id="11" w:name="t_qh_6_1_0186_a1_fm1"/>
            <w:bookmarkEnd w:id="11"/>
            <w:r>
              <w:rPr>
                <w:rFonts w:ascii="宋体" w:hAnsi="宋体" w:hint="eastAsia"/>
                <w:szCs w:val="21"/>
              </w:rPr>
              <w:t>中航基金管理有限公司</w:t>
            </w:r>
          </w:p>
        </w:tc>
      </w:tr>
      <w:tr w:rsidR="003B2DCE" w:rsidTr="00295BC3">
        <w:trPr>
          <w:trHeight w:val="296"/>
          <w:jc w:val="center"/>
        </w:trPr>
        <w:tc>
          <w:tcPr>
            <w:tcW w:w="4795" w:type="dxa"/>
            <w:gridSpan w:val="2"/>
          </w:tcPr>
          <w:p w:rsidR="003B2DCE" w:rsidRDefault="003B2DCE">
            <w:pPr>
              <w:rPr>
                <w:rFonts w:ascii="宋体" w:hAnsi="宋体" w:hint="eastAsia"/>
                <w:szCs w:val="21"/>
              </w:rPr>
            </w:pPr>
            <w:r>
              <w:rPr>
                <w:rFonts w:ascii="宋体" w:hAnsi="宋体" w:hint="eastAsia"/>
                <w:szCs w:val="21"/>
              </w:rPr>
              <w:t>基金托管人名称</w:t>
            </w:r>
          </w:p>
        </w:tc>
        <w:tc>
          <w:tcPr>
            <w:tcW w:w="3949" w:type="dxa"/>
          </w:tcPr>
          <w:p w:rsidR="003B2DCE" w:rsidRDefault="003B2DCE">
            <w:pPr>
              <w:rPr>
                <w:rFonts w:ascii="宋体" w:hAnsi="宋体" w:hint="eastAsia"/>
                <w:szCs w:val="21"/>
              </w:rPr>
            </w:pPr>
            <w:bookmarkStart w:id="12" w:name="t_qh_6_1_0213_a1_fm1"/>
            <w:bookmarkEnd w:id="12"/>
            <w:r>
              <w:rPr>
                <w:rFonts w:ascii="宋体" w:hAnsi="宋体" w:hint="eastAsia"/>
                <w:szCs w:val="21"/>
              </w:rPr>
              <w:t>招商银行股份有限公司</w:t>
            </w:r>
          </w:p>
        </w:tc>
      </w:tr>
      <w:tr w:rsidR="003B2DCE" w:rsidTr="00295BC3">
        <w:trPr>
          <w:trHeight w:val="312"/>
          <w:jc w:val="center"/>
        </w:trPr>
        <w:tc>
          <w:tcPr>
            <w:tcW w:w="4795" w:type="dxa"/>
            <w:gridSpan w:val="2"/>
          </w:tcPr>
          <w:p w:rsidR="003B2DCE" w:rsidRDefault="003B2DCE">
            <w:pPr>
              <w:rPr>
                <w:rFonts w:ascii="宋体" w:hAnsi="宋体" w:hint="eastAsia"/>
                <w:szCs w:val="21"/>
              </w:rPr>
            </w:pPr>
            <w:r>
              <w:rPr>
                <w:rFonts w:ascii="宋体" w:hAnsi="宋体" w:hint="eastAsia"/>
                <w:szCs w:val="21"/>
              </w:rPr>
              <w:t>公告依据</w:t>
            </w:r>
          </w:p>
        </w:tc>
        <w:tc>
          <w:tcPr>
            <w:tcW w:w="3949" w:type="dxa"/>
          </w:tcPr>
          <w:p w:rsidR="003B2DCE" w:rsidRDefault="003B2DCE">
            <w:pPr>
              <w:rPr>
                <w:rFonts w:ascii="宋体" w:hAnsi="宋体" w:hint="eastAsia"/>
                <w:szCs w:val="21"/>
              </w:rPr>
            </w:pPr>
            <w:bookmarkStart w:id="13" w:name="t_qh_6_1_2631_a1_fm1"/>
            <w:bookmarkEnd w:id="13"/>
            <w:r>
              <w:rPr>
                <w:rFonts w:ascii="宋体" w:hAnsi="宋体" w:hint="eastAsia"/>
                <w:szCs w:val="21"/>
              </w:rPr>
              <w:t>根据《中华人民共和国证券投资基金法》、《公开募集证券投资基金运作管理办法》、《公开募集基础设施证券投资基金指引（试行）》等法律法规以及《中航首钢生物质封闭式基础设施证券投资基金基金合同》、《中航首钢生物质封闭式基础设施证券投资基金招募说明书》的有关规定。</w:t>
            </w:r>
          </w:p>
        </w:tc>
      </w:tr>
      <w:tr w:rsidR="003B2DCE" w:rsidTr="00295BC3">
        <w:trPr>
          <w:trHeight w:val="296"/>
          <w:jc w:val="center"/>
        </w:trPr>
        <w:tc>
          <w:tcPr>
            <w:tcW w:w="4795" w:type="dxa"/>
            <w:gridSpan w:val="2"/>
          </w:tcPr>
          <w:p w:rsidR="003B2DCE" w:rsidRDefault="003B2DCE">
            <w:pPr>
              <w:rPr>
                <w:rFonts w:ascii="宋体" w:hAnsi="宋体" w:hint="eastAsia"/>
                <w:szCs w:val="21"/>
              </w:rPr>
            </w:pPr>
            <w:r>
              <w:rPr>
                <w:rFonts w:ascii="宋体" w:hAnsi="宋体" w:hint="eastAsia"/>
                <w:szCs w:val="21"/>
              </w:rPr>
              <w:t>收益分配基准日</w:t>
            </w:r>
          </w:p>
        </w:tc>
        <w:tc>
          <w:tcPr>
            <w:tcW w:w="3949" w:type="dxa"/>
          </w:tcPr>
          <w:p w:rsidR="003B2DCE" w:rsidRDefault="003B2DCE">
            <w:pPr>
              <w:rPr>
                <w:rFonts w:ascii="宋体" w:hAnsi="宋体" w:hint="eastAsia"/>
                <w:szCs w:val="21"/>
              </w:rPr>
            </w:pPr>
            <w:bookmarkStart w:id="14" w:name="t_qh_6_1_2637_a1_fm1"/>
            <w:bookmarkEnd w:id="14"/>
            <w:r>
              <w:rPr>
                <w:rFonts w:ascii="宋体" w:hAnsi="宋体"/>
                <w:szCs w:val="21"/>
              </w:rPr>
              <w:t>2023年12月31日</w:t>
            </w:r>
          </w:p>
        </w:tc>
      </w:tr>
      <w:tr w:rsidR="003B2DCE" w:rsidTr="00295BC3">
        <w:trPr>
          <w:trHeight w:val="312"/>
          <w:jc w:val="center"/>
        </w:trPr>
        <w:tc>
          <w:tcPr>
            <w:tcW w:w="2073" w:type="dxa"/>
            <w:vMerge w:val="restart"/>
            <w:vAlign w:val="center"/>
          </w:tcPr>
          <w:p w:rsidR="003B2DCE" w:rsidRDefault="003B2DCE">
            <w:pPr>
              <w:jc w:val="center"/>
              <w:rPr>
                <w:rFonts w:ascii="宋体" w:hAnsi="宋体" w:hint="eastAsia"/>
                <w:szCs w:val="21"/>
              </w:rPr>
            </w:pPr>
            <w:r>
              <w:rPr>
                <w:rFonts w:ascii="宋体" w:hAnsi="宋体" w:hint="eastAsia"/>
                <w:szCs w:val="21"/>
              </w:rPr>
              <w:t>截止收益分配基准日的相关指标</w:t>
            </w:r>
          </w:p>
        </w:tc>
        <w:tc>
          <w:tcPr>
            <w:tcW w:w="2722" w:type="dxa"/>
          </w:tcPr>
          <w:p w:rsidR="003B2DCE" w:rsidRDefault="003B2DCE">
            <w:pPr>
              <w:rPr>
                <w:rFonts w:ascii="宋体" w:hAnsi="宋体" w:hint="eastAsia"/>
                <w:szCs w:val="21"/>
              </w:rPr>
            </w:pPr>
            <w:r>
              <w:rPr>
                <w:rFonts w:ascii="宋体" w:hAnsi="宋体" w:hint="eastAsia"/>
                <w:szCs w:val="21"/>
              </w:rPr>
              <w:t>基准日</w:t>
            </w:r>
            <w:r w:rsidR="00A21961">
              <w:rPr>
                <w:rFonts w:ascii="宋体" w:hAnsi="宋体" w:hint="eastAsia"/>
                <w:szCs w:val="21"/>
              </w:rPr>
              <w:t>公募REITs</w:t>
            </w:r>
            <w:r>
              <w:rPr>
                <w:rFonts w:ascii="宋体" w:hAnsi="宋体" w:hint="eastAsia"/>
                <w:szCs w:val="21"/>
              </w:rPr>
              <w:t>份额净值（单位：元）</w:t>
            </w:r>
          </w:p>
        </w:tc>
        <w:tc>
          <w:tcPr>
            <w:tcW w:w="3949" w:type="dxa"/>
          </w:tcPr>
          <w:p w:rsidR="003B2DCE" w:rsidRDefault="003B2DCE">
            <w:pPr>
              <w:rPr>
                <w:rFonts w:ascii="宋体" w:hAnsi="宋体" w:hint="eastAsia"/>
                <w:szCs w:val="21"/>
              </w:rPr>
            </w:pPr>
            <w:bookmarkStart w:id="15" w:name="t_qh_6_1_2638_a1_fm2210"/>
            <w:bookmarkEnd w:id="15"/>
            <w:r>
              <w:rPr>
                <w:rFonts w:ascii="宋体" w:hAnsi="宋体"/>
                <w:szCs w:val="21"/>
              </w:rPr>
              <w:t>9.7686</w:t>
            </w:r>
          </w:p>
        </w:tc>
      </w:tr>
      <w:tr w:rsidR="003B2DCE" w:rsidTr="00295BC3">
        <w:trPr>
          <w:trHeight w:val="142"/>
          <w:jc w:val="center"/>
        </w:trPr>
        <w:tc>
          <w:tcPr>
            <w:tcW w:w="2073" w:type="dxa"/>
            <w:vMerge/>
          </w:tcPr>
          <w:p w:rsidR="003B2DCE" w:rsidRDefault="003B2DCE">
            <w:pPr>
              <w:rPr>
                <w:rFonts w:ascii="宋体" w:hAnsi="宋体" w:hint="eastAsia"/>
                <w:szCs w:val="21"/>
              </w:rPr>
            </w:pPr>
          </w:p>
        </w:tc>
        <w:tc>
          <w:tcPr>
            <w:tcW w:w="2722" w:type="dxa"/>
          </w:tcPr>
          <w:p w:rsidR="003B2DCE" w:rsidRDefault="003B2DCE">
            <w:pPr>
              <w:rPr>
                <w:rFonts w:ascii="宋体" w:hAnsi="宋体" w:hint="eastAsia"/>
                <w:szCs w:val="21"/>
              </w:rPr>
            </w:pPr>
            <w:r>
              <w:rPr>
                <w:rFonts w:ascii="宋体" w:hAnsi="宋体" w:hint="eastAsia"/>
                <w:szCs w:val="21"/>
              </w:rPr>
              <w:t>基准日</w:t>
            </w:r>
            <w:r w:rsidR="00A21961">
              <w:rPr>
                <w:rFonts w:ascii="宋体" w:hAnsi="宋体" w:hint="eastAsia"/>
                <w:szCs w:val="21"/>
              </w:rPr>
              <w:t>公募REITs</w:t>
            </w:r>
            <w:r>
              <w:rPr>
                <w:rFonts w:ascii="宋体" w:hAnsi="宋体" w:hint="eastAsia"/>
                <w:szCs w:val="21"/>
              </w:rPr>
              <w:t>可供分配</w:t>
            </w:r>
            <w:r w:rsidR="00A21961">
              <w:rPr>
                <w:rFonts w:ascii="宋体" w:hAnsi="宋体" w:hint="eastAsia"/>
                <w:szCs w:val="21"/>
              </w:rPr>
              <w:t>金额</w:t>
            </w:r>
            <w:r>
              <w:rPr>
                <w:rFonts w:ascii="宋体" w:hAnsi="宋体" w:hint="eastAsia"/>
                <w:szCs w:val="21"/>
              </w:rPr>
              <w:t>（单位：元）</w:t>
            </w:r>
          </w:p>
        </w:tc>
        <w:tc>
          <w:tcPr>
            <w:tcW w:w="3949" w:type="dxa"/>
          </w:tcPr>
          <w:p w:rsidR="003B2DCE" w:rsidRDefault="003B2DCE">
            <w:pPr>
              <w:rPr>
                <w:rFonts w:ascii="宋体" w:hAnsi="宋体" w:hint="eastAsia"/>
                <w:szCs w:val="21"/>
              </w:rPr>
            </w:pPr>
            <w:bookmarkStart w:id="16" w:name="t_qh_6_1_2640_a1_fm2210"/>
            <w:bookmarkEnd w:id="16"/>
            <w:r>
              <w:rPr>
                <w:rFonts w:ascii="宋体" w:hAnsi="宋体"/>
                <w:szCs w:val="21"/>
              </w:rPr>
              <w:t>44,337,220.16</w:t>
            </w:r>
          </w:p>
        </w:tc>
      </w:tr>
      <w:tr w:rsidR="00A21961" w:rsidTr="00295BC3">
        <w:trPr>
          <w:trHeight w:val="142"/>
          <w:jc w:val="center"/>
        </w:trPr>
        <w:tc>
          <w:tcPr>
            <w:tcW w:w="2073" w:type="dxa"/>
            <w:vMerge/>
          </w:tcPr>
          <w:p w:rsidR="00A21961" w:rsidRDefault="00A21961">
            <w:pPr>
              <w:rPr>
                <w:rFonts w:ascii="宋体" w:hAnsi="宋体" w:hint="eastAsia"/>
                <w:szCs w:val="21"/>
              </w:rPr>
            </w:pPr>
          </w:p>
        </w:tc>
        <w:tc>
          <w:tcPr>
            <w:tcW w:w="2722" w:type="dxa"/>
          </w:tcPr>
          <w:p w:rsidR="00A21961" w:rsidRDefault="00A21961">
            <w:pPr>
              <w:rPr>
                <w:rFonts w:ascii="宋体" w:hAnsi="宋体" w:hint="eastAsia"/>
                <w:szCs w:val="21"/>
              </w:rPr>
            </w:pPr>
            <w:r>
              <w:rPr>
                <w:rFonts w:ascii="宋体" w:hAnsi="宋体" w:hint="eastAsia"/>
                <w:szCs w:val="21"/>
              </w:rPr>
              <w:t>本次分红比例</w:t>
            </w:r>
          </w:p>
        </w:tc>
        <w:tc>
          <w:tcPr>
            <w:tcW w:w="3949" w:type="dxa"/>
          </w:tcPr>
          <w:p w:rsidR="00A21961" w:rsidRDefault="006655E0">
            <w:pPr>
              <w:rPr>
                <w:rFonts w:ascii="宋体" w:hAnsi="宋体"/>
                <w:szCs w:val="21"/>
              </w:rPr>
            </w:pPr>
            <w:r w:rsidRPr="006655E0">
              <w:rPr>
                <w:rFonts w:ascii="宋体" w:hAnsi="宋体"/>
                <w:szCs w:val="21"/>
              </w:rPr>
              <w:t>99.92%</w:t>
            </w:r>
          </w:p>
        </w:tc>
      </w:tr>
      <w:tr w:rsidR="003B2DCE" w:rsidTr="00295BC3">
        <w:trPr>
          <w:trHeight w:val="142"/>
          <w:jc w:val="center"/>
        </w:trPr>
        <w:tc>
          <w:tcPr>
            <w:tcW w:w="2073" w:type="dxa"/>
            <w:vMerge/>
          </w:tcPr>
          <w:p w:rsidR="003B2DCE" w:rsidRDefault="003B2DCE">
            <w:pPr>
              <w:rPr>
                <w:rFonts w:ascii="宋体" w:hAnsi="宋体" w:hint="eastAsia"/>
                <w:szCs w:val="21"/>
              </w:rPr>
            </w:pPr>
          </w:p>
        </w:tc>
        <w:tc>
          <w:tcPr>
            <w:tcW w:w="2722" w:type="dxa"/>
          </w:tcPr>
          <w:p w:rsidR="003B2DCE" w:rsidRDefault="003B2DCE">
            <w:pPr>
              <w:rPr>
                <w:rFonts w:ascii="宋体" w:hAnsi="宋体" w:hint="eastAsia"/>
                <w:szCs w:val="21"/>
              </w:rPr>
            </w:pPr>
            <w:r>
              <w:rPr>
                <w:rFonts w:ascii="宋体" w:hAnsi="宋体" w:hint="eastAsia"/>
                <w:szCs w:val="21"/>
              </w:rPr>
              <w:t>截止基准日</w:t>
            </w:r>
            <w:r w:rsidR="00A21961" w:rsidRPr="00A21961">
              <w:rPr>
                <w:rFonts w:ascii="宋体" w:hAnsi="宋体" w:hint="eastAsia"/>
                <w:szCs w:val="21"/>
              </w:rPr>
              <w:t>公募REITs</w:t>
            </w:r>
            <w:r>
              <w:rPr>
                <w:rFonts w:ascii="宋体" w:hAnsi="宋体" w:hint="eastAsia"/>
                <w:szCs w:val="21"/>
              </w:rPr>
              <w:t>按照</w:t>
            </w:r>
            <w:r w:rsidR="00A21961">
              <w:rPr>
                <w:rFonts w:ascii="宋体" w:hAnsi="宋体" w:hint="eastAsia"/>
                <w:szCs w:val="21"/>
              </w:rPr>
              <w:t>合同约定的</w:t>
            </w:r>
            <w:r>
              <w:rPr>
                <w:rFonts w:ascii="宋体" w:hAnsi="宋体" w:hint="eastAsia"/>
                <w:szCs w:val="21"/>
              </w:rPr>
              <w:t>分红比例计算的应分配金额（单位：元）</w:t>
            </w:r>
          </w:p>
        </w:tc>
        <w:tc>
          <w:tcPr>
            <w:tcW w:w="3949" w:type="dxa"/>
          </w:tcPr>
          <w:p w:rsidR="003B2DCE" w:rsidRDefault="003B2DCE">
            <w:pPr>
              <w:rPr>
                <w:rFonts w:ascii="宋体" w:hAnsi="宋体" w:hint="eastAsia"/>
                <w:szCs w:val="21"/>
              </w:rPr>
            </w:pPr>
            <w:bookmarkStart w:id="17" w:name="t_qh_6_1_2814_a1_fm2210"/>
            <w:bookmarkEnd w:id="17"/>
            <w:r>
              <w:rPr>
                <w:rFonts w:ascii="宋体" w:hAnsi="宋体"/>
                <w:szCs w:val="21"/>
              </w:rPr>
              <w:t>44,300,000.00</w:t>
            </w:r>
          </w:p>
        </w:tc>
      </w:tr>
      <w:tr w:rsidR="003B2DCE" w:rsidTr="00295BC3">
        <w:trPr>
          <w:trHeight w:val="296"/>
          <w:jc w:val="center"/>
        </w:trPr>
        <w:tc>
          <w:tcPr>
            <w:tcW w:w="4795" w:type="dxa"/>
            <w:gridSpan w:val="2"/>
          </w:tcPr>
          <w:p w:rsidR="003B2DCE" w:rsidRDefault="003B2DCE">
            <w:pPr>
              <w:rPr>
                <w:rFonts w:ascii="宋体" w:hAnsi="宋体" w:hint="eastAsia"/>
                <w:szCs w:val="21"/>
              </w:rPr>
            </w:pPr>
            <w:r>
              <w:rPr>
                <w:rFonts w:ascii="宋体" w:hAnsi="宋体" w:hint="eastAsia"/>
                <w:szCs w:val="21"/>
              </w:rPr>
              <w:t>本次公募REITs分红方案（单位：元/10份公募REITs份额）</w:t>
            </w:r>
          </w:p>
        </w:tc>
        <w:tc>
          <w:tcPr>
            <w:tcW w:w="3949" w:type="dxa"/>
          </w:tcPr>
          <w:p w:rsidR="003B2DCE" w:rsidRDefault="003B2DCE">
            <w:pPr>
              <w:rPr>
                <w:rFonts w:ascii="宋体" w:hAnsi="宋体" w:hint="eastAsia"/>
                <w:szCs w:val="21"/>
              </w:rPr>
            </w:pPr>
            <w:bookmarkStart w:id="18" w:name="t_qh_6_1_2641_a1_fm2210"/>
            <w:bookmarkEnd w:id="18"/>
            <w:r>
              <w:rPr>
                <w:rFonts w:ascii="宋体" w:hAnsi="宋体"/>
                <w:szCs w:val="21"/>
              </w:rPr>
              <w:t>4.4300</w:t>
            </w:r>
          </w:p>
        </w:tc>
      </w:tr>
      <w:tr w:rsidR="003B2DCE" w:rsidTr="00295BC3">
        <w:trPr>
          <w:trHeight w:val="312"/>
          <w:jc w:val="center"/>
        </w:trPr>
        <w:tc>
          <w:tcPr>
            <w:tcW w:w="4795" w:type="dxa"/>
            <w:gridSpan w:val="2"/>
            <w:vAlign w:val="center"/>
          </w:tcPr>
          <w:p w:rsidR="003B2DCE" w:rsidRDefault="003B2DCE">
            <w:pPr>
              <w:rPr>
                <w:rFonts w:ascii="宋体" w:hAnsi="宋体" w:hint="eastAsia"/>
                <w:szCs w:val="21"/>
              </w:rPr>
            </w:pPr>
            <w:r>
              <w:rPr>
                <w:rFonts w:ascii="宋体" w:hAnsi="宋体" w:hint="eastAsia"/>
                <w:szCs w:val="21"/>
              </w:rPr>
              <w:t>有关年度分红次数的说明</w:t>
            </w:r>
          </w:p>
        </w:tc>
        <w:tc>
          <w:tcPr>
            <w:tcW w:w="3949" w:type="dxa"/>
            <w:vAlign w:val="center"/>
          </w:tcPr>
          <w:p w:rsidR="003B2DCE" w:rsidRDefault="003B2DCE">
            <w:pPr>
              <w:rPr>
                <w:rFonts w:ascii="宋体" w:hAnsi="宋体" w:hint="eastAsia"/>
                <w:szCs w:val="21"/>
              </w:rPr>
            </w:pPr>
            <w:bookmarkStart w:id="19" w:name="t_qh_6_1_2815_a1_fm1"/>
            <w:bookmarkEnd w:id="19"/>
            <w:r>
              <w:rPr>
                <w:rFonts w:ascii="宋体" w:hAnsi="宋体" w:hint="eastAsia"/>
                <w:szCs w:val="21"/>
              </w:rPr>
              <w:t>本次分红为</w:t>
            </w:r>
            <w:r>
              <w:rPr>
                <w:rFonts w:ascii="宋体" w:hAnsi="宋体"/>
                <w:szCs w:val="21"/>
              </w:rPr>
              <w:t>2023年度的第2次分红</w:t>
            </w:r>
          </w:p>
        </w:tc>
      </w:tr>
    </w:tbl>
    <w:bookmarkEnd w:id="6"/>
    <w:p w:rsidR="003B2DCE" w:rsidRDefault="003B2DCE">
      <w:pPr>
        <w:spacing w:line="360" w:lineRule="auto"/>
        <w:jc w:val="left"/>
        <w:rPr>
          <w:rFonts w:ascii="宋体" w:hAnsi="宋体"/>
          <w:szCs w:val="21"/>
        </w:rPr>
      </w:pPr>
      <w:r>
        <w:rPr>
          <w:rFonts w:ascii="宋体" w:hAnsi="宋体" w:hint="eastAsia"/>
          <w:szCs w:val="21"/>
        </w:rPr>
        <w:t>注：</w:t>
      </w:r>
      <w:r>
        <w:rPr>
          <w:rFonts w:ascii="宋体" w:hAnsi="宋体"/>
          <w:szCs w:val="21"/>
        </w:rPr>
        <w:t>1、本基金本次收益分配方案已经基金托管人复核。</w:t>
      </w:r>
    </w:p>
    <w:p w:rsidR="003B2DCE" w:rsidRDefault="003B2DCE">
      <w:pPr>
        <w:spacing w:line="360" w:lineRule="auto"/>
        <w:jc w:val="left"/>
        <w:rPr>
          <w:rFonts w:ascii="宋体" w:hAnsi="宋体"/>
          <w:szCs w:val="21"/>
        </w:rPr>
      </w:pPr>
      <w:r>
        <w:rPr>
          <w:rFonts w:ascii="宋体" w:hAnsi="宋体"/>
          <w:szCs w:val="21"/>
        </w:rPr>
        <w:t>2、根据本基金基金合同约定，本基金应当将90%以上合并后基金年度可供分配金额以现金形式分配给投资者。本基金的收益分配在符合分配条件的情况下每年不得少于1次。本次拟分配金额为人民币44,300,000.00元，占前述截止本次收益分配基准日可供分配金额的99.92%。截止基准日公募REITs按照本次分红比例计算的应分配金额与实际分配金额间可能存在尾差，具体以注册登记机构的规则为准。</w:t>
      </w:r>
    </w:p>
    <w:p w:rsidR="003B2DCE" w:rsidRDefault="003B2DCE" w:rsidP="003B2DCE">
      <w:pPr>
        <w:numPr>
          <w:ilvl w:val="0"/>
          <w:numId w:val="5"/>
        </w:numPr>
        <w:spacing w:line="360" w:lineRule="auto"/>
        <w:jc w:val="left"/>
        <w:rPr>
          <w:rFonts w:hint="eastAsia"/>
          <w:szCs w:val="21"/>
        </w:rPr>
      </w:pPr>
      <w:r>
        <w:rPr>
          <w:rFonts w:ascii="宋体" w:hAnsi="宋体"/>
          <w:szCs w:val="21"/>
        </w:rPr>
        <w:t>场内简称：首钢绿能（扩位证劵简称：中航首钢绿能REIT）</w:t>
      </w:r>
    </w:p>
    <w:p w:rsidR="003B2DCE" w:rsidRDefault="003B2DCE" w:rsidP="003B2DCE">
      <w:pPr>
        <w:pStyle w:val="2"/>
        <w:numPr>
          <w:ilvl w:val="0"/>
          <w:numId w:val="4"/>
        </w:numPr>
        <w:spacing w:beforeLines="50" w:afterLines="50" w:line="240" w:lineRule="auto"/>
        <w:jc w:val="left"/>
        <w:rPr>
          <w:rFonts w:ascii="宋体" w:eastAsia="宋体" w:hAnsi="宋体" w:hint="eastAsia"/>
          <w:bCs/>
          <w:sz w:val="24"/>
          <w:szCs w:val="24"/>
        </w:rPr>
      </w:pPr>
      <w:bookmarkStart w:id="20" w:name="t_6_2_table"/>
      <w:bookmarkStart w:id="21" w:name="m02"/>
      <w:bookmarkEnd w:id="4"/>
      <w:bookmarkEnd w:id="20"/>
      <w:r>
        <w:rPr>
          <w:rFonts w:ascii="宋体" w:eastAsia="宋体" w:hAnsi="宋体" w:hint="eastAsia"/>
          <w:bCs/>
          <w:sz w:val="24"/>
          <w:szCs w:val="24"/>
        </w:rPr>
        <w:t>与分红相关的其他信息</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7"/>
        <w:gridCol w:w="2957"/>
        <w:gridCol w:w="2721"/>
      </w:tblGrid>
      <w:tr w:rsidR="003B2DCE" w:rsidTr="00295BC3">
        <w:trPr>
          <w:trHeight w:val="320"/>
        </w:trPr>
        <w:tc>
          <w:tcPr>
            <w:tcW w:w="3067" w:type="dxa"/>
          </w:tcPr>
          <w:p w:rsidR="003B2DCE" w:rsidRDefault="003B2DCE">
            <w:pPr>
              <w:rPr>
                <w:rFonts w:hint="eastAsia"/>
                <w:szCs w:val="21"/>
              </w:rPr>
            </w:pPr>
            <w:bookmarkStart w:id="22" w:name="m02_tab"/>
            <w:r>
              <w:rPr>
                <w:rFonts w:hint="eastAsia"/>
                <w:szCs w:val="21"/>
              </w:rPr>
              <w:t>权益登记日</w:t>
            </w:r>
          </w:p>
        </w:tc>
        <w:tc>
          <w:tcPr>
            <w:tcW w:w="5678" w:type="dxa"/>
            <w:gridSpan w:val="2"/>
          </w:tcPr>
          <w:p w:rsidR="003B2DCE" w:rsidRDefault="003B2DCE">
            <w:pPr>
              <w:rPr>
                <w:rFonts w:hint="eastAsia"/>
                <w:szCs w:val="21"/>
              </w:rPr>
            </w:pPr>
            <w:bookmarkStart w:id="23" w:name="t_6_2_2758_a1_fm1"/>
            <w:bookmarkEnd w:id="23"/>
            <w:r>
              <w:rPr>
                <w:rFonts w:ascii="宋体" w:hAnsi="宋体"/>
                <w:szCs w:val="21"/>
              </w:rPr>
              <w:t>2024年4月23日</w:t>
            </w:r>
          </w:p>
        </w:tc>
      </w:tr>
      <w:tr w:rsidR="003B2DCE" w:rsidTr="00295BC3">
        <w:trPr>
          <w:trHeight w:val="335"/>
        </w:trPr>
        <w:tc>
          <w:tcPr>
            <w:tcW w:w="3067" w:type="dxa"/>
          </w:tcPr>
          <w:p w:rsidR="003B2DCE" w:rsidRDefault="003B2DCE">
            <w:pPr>
              <w:rPr>
                <w:rFonts w:hint="eastAsia"/>
                <w:szCs w:val="21"/>
              </w:rPr>
            </w:pPr>
            <w:r>
              <w:rPr>
                <w:rFonts w:hint="eastAsia"/>
                <w:szCs w:val="21"/>
              </w:rPr>
              <w:t>除息日</w:t>
            </w:r>
          </w:p>
        </w:tc>
        <w:tc>
          <w:tcPr>
            <w:tcW w:w="2957" w:type="dxa"/>
          </w:tcPr>
          <w:p w:rsidR="003B2DCE" w:rsidRDefault="003B2DCE">
            <w:pPr>
              <w:rPr>
                <w:rFonts w:hint="eastAsia"/>
                <w:szCs w:val="21"/>
              </w:rPr>
            </w:pPr>
            <w:bookmarkStart w:id="24" w:name="t_6_2_2836_a1_fm1"/>
            <w:bookmarkEnd w:id="24"/>
            <w:r>
              <w:rPr>
                <w:rFonts w:ascii="宋体" w:hAnsi="宋体"/>
                <w:szCs w:val="21"/>
              </w:rPr>
              <w:t>2024年4月24日</w:t>
            </w:r>
            <w:r w:rsidRPr="00894A35">
              <w:rPr>
                <w:rFonts w:hint="eastAsia"/>
                <w:szCs w:val="21"/>
              </w:rPr>
              <w:t>（场内）</w:t>
            </w:r>
          </w:p>
        </w:tc>
        <w:tc>
          <w:tcPr>
            <w:tcW w:w="2721" w:type="dxa"/>
          </w:tcPr>
          <w:p w:rsidR="003B2DCE" w:rsidRDefault="003B2DCE">
            <w:pPr>
              <w:rPr>
                <w:rFonts w:hint="eastAsia"/>
                <w:szCs w:val="21"/>
              </w:rPr>
            </w:pPr>
            <w:bookmarkStart w:id="25" w:name="t_6_2_2759_a1_fm1"/>
            <w:bookmarkEnd w:id="25"/>
            <w:r>
              <w:rPr>
                <w:rFonts w:ascii="宋体" w:hAnsi="宋体"/>
                <w:szCs w:val="21"/>
              </w:rPr>
              <w:t>2024年4月23日</w:t>
            </w:r>
            <w:r w:rsidRPr="00894A35">
              <w:rPr>
                <w:rFonts w:hint="eastAsia"/>
                <w:szCs w:val="21"/>
              </w:rPr>
              <w:t>（场外）</w:t>
            </w:r>
          </w:p>
        </w:tc>
      </w:tr>
      <w:tr w:rsidR="003B2DCE" w:rsidTr="006E16CF">
        <w:trPr>
          <w:trHeight w:val="335"/>
        </w:trPr>
        <w:tc>
          <w:tcPr>
            <w:tcW w:w="3067" w:type="dxa"/>
          </w:tcPr>
          <w:p w:rsidR="003B2DCE" w:rsidRDefault="003B2DCE" w:rsidP="003B2DCE">
            <w:pPr>
              <w:rPr>
                <w:rFonts w:hint="eastAsia"/>
                <w:szCs w:val="21"/>
              </w:rPr>
            </w:pPr>
            <w:r>
              <w:rPr>
                <w:rFonts w:hint="eastAsia"/>
                <w:szCs w:val="21"/>
              </w:rPr>
              <w:t>现金红利发放日</w:t>
            </w:r>
          </w:p>
        </w:tc>
        <w:tc>
          <w:tcPr>
            <w:tcW w:w="2957" w:type="dxa"/>
            <w:vAlign w:val="center"/>
          </w:tcPr>
          <w:p w:rsidR="003B2DCE" w:rsidRDefault="003B2DCE" w:rsidP="003B2DCE">
            <w:pPr>
              <w:rPr>
                <w:rFonts w:ascii="宋体" w:hAnsi="宋体"/>
                <w:szCs w:val="21"/>
              </w:rPr>
            </w:pPr>
            <w:r>
              <w:rPr>
                <w:rFonts w:ascii="宋体" w:hAnsi="宋体"/>
                <w:szCs w:val="21"/>
              </w:rPr>
              <w:t>2024年4月26日</w:t>
            </w:r>
            <w:r w:rsidRPr="00894A35">
              <w:rPr>
                <w:rFonts w:hint="eastAsia"/>
                <w:szCs w:val="21"/>
              </w:rPr>
              <w:t>（场内）</w:t>
            </w:r>
          </w:p>
        </w:tc>
        <w:tc>
          <w:tcPr>
            <w:tcW w:w="2721" w:type="dxa"/>
            <w:vAlign w:val="center"/>
          </w:tcPr>
          <w:p w:rsidR="003B2DCE" w:rsidRDefault="003B2DCE" w:rsidP="003B2DCE">
            <w:pPr>
              <w:rPr>
                <w:rFonts w:ascii="宋体" w:hAnsi="宋体"/>
                <w:szCs w:val="21"/>
              </w:rPr>
            </w:pPr>
            <w:r>
              <w:rPr>
                <w:rFonts w:ascii="宋体" w:hAnsi="宋体"/>
                <w:szCs w:val="21"/>
              </w:rPr>
              <w:t>2024年4月25日</w:t>
            </w:r>
            <w:r w:rsidRPr="00894A35">
              <w:rPr>
                <w:rFonts w:hint="eastAsia"/>
                <w:szCs w:val="21"/>
              </w:rPr>
              <w:t>（场外）</w:t>
            </w:r>
          </w:p>
        </w:tc>
      </w:tr>
      <w:tr w:rsidR="003B2DCE" w:rsidTr="00295BC3">
        <w:trPr>
          <w:trHeight w:val="335"/>
        </w:trPr>
        <w:tc>
          <w:tcPr>
            <w:tcW w:w="3067" w:type="dxa"/>
          </w:tcPr>
          <w:p w:rsidR="003B2DCE" w:rsidRDefault="003B2DCE" w:rsidP="003B2DCE">
            <w:pPr>
              <w:rPr>
                <w:rFonts w:hint="eastAsia"/>
                <w:szCs w:val="21"/>
              </w:rPr>
            </w:pPr>
            <w:r>
              <w:rPr>
                <w:rFonts w:hint="eastAsia"/>
                <w:szCs w:val="21"/>
              </w:rPr>
              <w:lastRenderedPageBreak/>
              <w:t>分红对象</w:t>
            </w:r>
          </w:p>
        </w:tc>
        <w:tc>
          <w:tcPr>
            <w:tcW w:w="5678" w:type="dxa"/>
            <w:gridSpan w:val="2"/>
          </w:tcPr>
          <w:p w:rsidR="003B2DCE" w:rsidRDefault="003B2DCE" w:rsidP="003B2DCE">
            <w:pPr>
              <w:rPr>
                <w:rFonts w:ascii="宋体" w:hAnsi="宋体" w:hint="eastAsia"/>
                <w:szCs w:val="21"/>
              </w:rPr>
            </w:pPr>
            <w:bookmarkStart w:id="26" w:name="t_6_2_2761_a1_fm1"/>
            <w:bookmarkEnd w:id="26"/>
            <w:r>
              <w:rPr>
                <w:rFonts w:ascii="宋体" w:hAnsi="宋体" w:hint="eastAsia"/>
                <w:szCs w:val="21"/>
              </w:rPr>
              <w:t>权益登记日在中国证券登记结算有限责任公司登记在册的本基金的全体基金份额持有人。</w:t>
            </w:r>
          </w:p>
        </w:tc>
      </w:tr>
      <w:tr w:rsidR="003B2DCE" w:rsidTr="00295BC3">
        <w:trPr>
          <w:trHeight w:val="335"/>
        </w:trPr>
        <w:tc>
          <w:tcPr>
            <w:tcW w:w="3067" w:type="dxa"/>
            <w:vAlign w:val="center"/>
          </w:tcPr>
          <w:p w:rsidR="003B2DCE" w:rsidRDefault="003B2DCE" w:rsidP="003B2DCE">
            <w:pPr>
              <w:rPr>
                <w:rFonts w:hint="eastAsia"/>
                <w:szCs w:val="21"/>
              </w:rPr>
            </w:pPr>
            <w:r>
              <w:rPr>
                <w:rFonts w:hint="eastAsia"/>
                <w:szCs w:val="21"/>
              </w:rPr>
              <w:t>红利再投资相关事项的说明</w:t>
            </w:r>
          </w:p>
        </w:tc>
        <w:tc>
          <w:tcPr>
            <w:tcW w:w="5678" w:type="dxa"/>
            <w:gridSpan w:val="2"/>
          </w:tcPr>
          <w:p w:rsidR="003B2DCE" w:rsidRDefault="003B2DCE" w:rsidP="003B2DCE">
            <w:pPr>
              <w:rPr>
                <w:rFonts w:ascii="宋体" w:hAnsi="宋体" w:hint="eastAsia"/>
                <w:szCs w:val="21"/>
              </w:rPr>
            </w:pPr>
            <w:bookmarkStart w:id="27" w:name="t_6_2_2762_a1_fm1"/>
            <w:bookmarkEnd w:id="27"/>
            <w:r>
              <w:rPr>
                <w:rFonts w:ascii="宋体" w:hAnsi="宋体" w:hint="eastAsia"/>
                <w:szCs w:val="21"/>
              </w:rPr>
              <w:t>本基金收益分配采取现金分红方式。</w:t>
            </w:r>
          </w:p>
        </w:tc>
      </w:tr>
      <w:tr w:rsidR="003B2DCE" w:rsidTr="00295BC3">
        <w:trPr>
          <w:trHeight w:val="335"/>
        </w:trPr>
        <w:tc>
          <w:tcPr>
            <w:tcW w:w="3067" w:type="dxa"/>
          </w:tcPr>
          <w:p w:rsidR="003B2DCE" w:rsidRDefault="003B2DCE" w:rsidP="003B2DCE">
            <w:pPr>
              <w:rPr>
                <w:rFonts w:hint="eastAsia"/>
                <w:szCs w:val="21"/>
              </w:rPr>
            </w:pPr>
            <w:r>
              <w:rPr>
                <w:rFonts w:hint="eastAsia"/>
                <w:szCs w:val="21"/>
              </w:rPr>
              <w:t>税收相关事项的说明</w:t>
            </w:r>
          </w:p>
        </w:tc>
        <w:tc>
          <w:tcPr>
            <w:tcW w:w="5678" w:type="dxa"/>
            <w:gridSpan w:val="2"/>
          </w:tcPr>
          <w:p w:rsidR="003B2DCE" w:rsidRDefault="003B2DCE" w:rsidP="003B2DCE">
            <w:pPr>
              <w:rPr>
                <w:rFonts w:ascii="宋体" w:hAnsi="宋体" w:hint="eastAsia"/>
                <w:szCs w:val="21"/>
              </w:rPr>
            </w:pPr>
            <w:bookmarkStart w:id="28" w:name="t_6_2_2764_a1_fm1"/>
            <w:bookmarkEnd w:id="28"/>
            <w:r>
              <w:rPr>
                <w:rFonts w:ascii="宋体" w:hAnsi="宋体" w:hint="eastAsia"/>
                <w:szCs w:val="21"/>
              </w:rPr>
              <w:t>根据相关法律法规规定，基金向投资者分配的基金收益，暂免征收所得税。</w:t>
            </w:r>
          </w:p>
        </w:tc>
      </w:tr>
      <w:tr w:rsidR="003B2DCE" w:rsidTr="00295BC3">
        <w:trPr>
          <w:trHeight w:val="335"/>
        </w:trPr>
        <w:tc>
          <w:tcPr>
            <w:tcW w:w="3067" w:type="dxa"/>
          </w:tcPr>
          <w:p w:rsidR="003B2DCE" w:rsidRDefault="003B2DCE" w:rsidP="003B2DCE">
            <w:pPr>
              <w:rPr>
                <w:rFonts w:hint="eastAsia"/>
                <w:szCs w:val="21"/>
              </w:rPr>
            </w:pPr>
            <w:r>
              <w:rPr>
                <w:rFonts w:hint="eastAsia"/>
                <w:szCs w:val="21"/>
              </w:rPr>
              <w:t>费用相关事项的说明</w:t>
            </w:r>
          </w:p>
        </w:tc>
        <w:tc>
          <w:tcPr>
            <w:tcW w:w="5678" w:type="dxa"/>
            <w:gridSpan w:val="2"/>
          </w:tcPr>
          <w:p w:rsidR="003B2DCE" w:rsidRDefault="003B2DCE" w:rsidP="003B2DCE">
            <w:pPr>
              <w:rPr>
                <w:rFonts w:ascii="宋体" w:hAnsi="宋体" w:hint="eastAsia"/>
                <w:szCs w:val="21"/>
              </w:rPr>
            </w:pPr>
            <w:bookmarkStart w:id="29" w:name="t_6_2_2765_a1_fm1"/>
            <w:bookmarkEnd w:id="29"/>
            <w:r>
              <w:rPr>
                <w:rFonts w:ascii="宋体" w:hAnsi="宋体" w:hint="eastAsia"/>
                <w:szCs w:val="21"/>
              </w:rPr>
              <w:t>本基金本次分红免收分红手续费。</w:t>
            </w:r>
          </w:p>
        </w:tc>
      </w:tr>
    </w:tbl>
    <w:p w:rsidR="004864C9" w:rsidRDefault="004864C9" w:rsidP="003B2DCE">
      <w:pPr>
        <w:pStyle w:val="2"/>
        <w:numPr>
          <w:ilvl w:val="0"/>
          <w:numId w:val="4"/>
        </w:numPr>
        <w:spacing w:beforeLines="50" w:afterLines="50" w:line="240" w:lineRule="auto"/>
        <w:jc w:val="left"/>
        <w:rPr>
          <w:rFonts w:ascii="宋体" w:eastAsia="宋体" w:hAnsi="宋体" w:hint="eastAsia"/>
          <w:bCs/>
          <w:sz w:val="24"/>
          <w:szCs w:val="24"/>
        </w:rPr>
      </w:pPr>
      <w:bookmarkStart w:id="30" w:name="t_6_3_table"/>
      <w:bookmarkEnd w:id="21"/>
      <w:bookmarkEnd w:id="22"/>
      <w:bookmarkEnd w:id="30"/>
      <w:r>
        <w:rPr>
          <w:rFonts w:ascii="宋体" w:eastAsia="宋体" w:hAnsi="宋体" w:hint="eastAsia"/>
          <w:bCs/>
          <w:sz w:val="24"/>
          <w:szCs w:val="24"/>
        </w:rPr>
        <w:t>其他需要提示的事项</w:t>
      </w:r>
    </w:p>
    <w:p w:rsidR="00295BC3" w:rsidRDefault="00295BC3">
      <w:pPr>
        <w:spacing w:line="360" w:lineRule="auto"/>
        <w:ind w:firstLineChars="200" w:firstLine="420"/>
        <w:jc w:val="left"/>
        <w:rPr>
          <w:rFonts w:ascii="宋体" w:hAnsi="宋体"/>
          <w:szCs w:val="21"/>
        </w:rPr>
      </w:pPr>
      <w:bookmarkStart w:id="31" w:name="t_6_3_2646_a1_fm1"/>
      <w:bookmarkEnd w:id="31"/>
      <w:r>
        <w:rPr>
          <w:rFonts w:ascii="宋体" w:hAnsi="宋体" w:hint="eastAsia"/>
          <w:szCs w:val="21"/>
        </w:rPr>
        <w:t>（</w:t>
      </w:r>
      <w:r>
        <w:rPr>
          <w:rFonts w:ascii="宋体" w:hAnsi="宋体"/>
          <w:szCs w:val="21"/>
        </w:rPr>
        <w:t>1）权益分派期间（2024年4月19日至2024年4月23日）暂停跨系统转托管业务。</w:t>
      </w:r>
    </w:p>
    <w:p w:rsidR="00295BC3" w:rsidRDefault="00295BC3">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2）根据《深圳证券交易所证券投资基金上市规则》，中航首钢生物质封闭式基础设施证券投资基金于本收益分配公告披露当日上午开市起停牌一小时，上午十点三十分复牌。同时，根据《深圳证券交易所证券投资基金业务指引第3号——基金通平台份额转让》，本基金于本收益分配公告披露当日上午开市起暂停基金通平台份额转让业务一小时，于当日上午十点三十分起恢复基金通平台份额转让业务。</w:t>
      </w:r>
    </w:p>
    <w:p w:rsidR="00295BC3" w:rsidRDefault="00295BC3">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3）基金管理人计算年度可供分配金额过程中，将合并净利润调整为</w:t>
      </w:r>
      <w:r>
        <w:rPr>
          <w:rFonts w:ascii="宋体" w:hAnsi="宋体" w:hint="eastAsia"/>
          <w:szCs w:val="21"/>
        </w:rPr>
        <w:t>税息折旧及摊销前利润</w:t>
      </w:r>
      <w:r>
        <w:rPr>
          <w:rFonts w:ascii="宋体" w:hAnsi="宋体"/>
          <w:szCs w:val="21"/>
        </w:rPr>
        <w:t>(EBITDA)，在税息折旧及摊销前利润的基础上进行以下项目的调整:应收项目的变动;应付项目的变动;存货的变动;当期资本性支出;当期分配金额；期初现金及交易所国债等。经过上述项目调整后，在此基础上对未来合理的相关支出预留，包括重大资本性支出、预留不可预见费用、期末负债等。经上述项目调整后，本基金自2023年1月1日至收益分配基准日2023年12月31日期间的累计可供分配金额107,237,134.83元，以2023年9月30日为基准日已分配62,899,914.67元，本次拟分红金额为</w:t>
      </w:r>
      <w:r>
        <w:rPr>
          <w:rFonts w:ascii="宋体" w:hAnsi="宋体" w:hint="eastAsia"/>
          <w:szCs w:val="21"/>
        </w:rPr>
        <w:t>人民币</w:t>
      </w:r>
      <w:r>
        <w:rPr>
          <w:rFonts w:ascii="宋体" w:hAnsi="宋体"/>
          <w:szCs w:val="21"/>
        </w:rPr>
        <w:t>44,300,000.00元，</w:t>
      </w:r>
      <w:r w:rsidR="00AB1277">
        <w:rPr>
          <w:rFonts w:ascii="宋体" w:hAnsi="宋体" w:hint="eastAsia"/>
          <w:szCs w:val="21"/>
        </w:rPr>
        <w:t>本次</w:t>
      </w:r>
      <w:r>
        <w:rPr>
          <w:rFonts w:ascii="宋体" w:hAnsi="宋体"/>
          <w:szCs w:val="21"/>
        </w:rPr>
        <w:t>可供分配现金分配比例为99.92%，本次每10份公募REITs份额发放红利4.4300元人民币。</w:t>
      </w:r>
    </w:p>
    <w:p w:rsidR="00295BC3" w:rsidRDefault="00295BC3">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4）权益登记日当天买入的基金份额享有本次分红权益，权益登记日当天卖出的基金份额不享有本次分红权益。</w:t>
      </w:r>
    </w:p>
    <w:p w:rsidR="00295BC3" w:rsidRPr="003B2DCE" w:rsidRDefault="00295BC3" w:rsidP="003B2DCE">
      <w:pPr>
        <w:pStyle w:val="2"/>
        <w:numPr>
          <w:ilvl w:val="0"/>
          <w:numId w:val="4"/>
        </w:numPr>
        <w:spacing w:beforeLines="50" w:afterLines="50" w:line="240" w:lineRule="auto"/>
        <w:jc w:val="left"/>
        <w:rPr>
          <w:rFonts w:ascii="宋体" w:eastAsia="宋体" w:hAnsi="宋体"/>
          <w:bCs/>
          <w:sz w:val="24"/>
          <w:szCs w:val="24"/>
        </w:rPr>
      </w:pPr>
      <w:r w:rsidRPr="003B2DCE">
        <w:rPr>
          <w:rFonts w:ascii="宋体" w:eastAsia="宋体" w:hAnsi="宋体" w:hint="eastAsia"/>
          <w:bCs/>
          <w:sz w:val="24"/>
          <w:szCs w:val="24"/>
        </w:rPr>
        <w:t>相关机构联系方式</w:t>
      </w:r>
    </w:p>
    <w:p w:rsidR="00295BC3" w:rsidRDefault="00295BC3">
      <w:pPr>
        <w:spacing w:line="360" w:lineRule="auto"/>
        <w:ind w:firstLineChars="200" w:firstLine="420"/>
        <w:jc w:val="left"/>
        <w:rPr>
          <w:rFonts w:ascii="宋体" w:hAnsi="宋体"/>
          <w:szCs w:val="21"/>
        </w:rPr>
      </w:pPr>
      <w:r>
        <w:rPr>
          <w:rFonts w:ascii="宋体" w:hAnsi="宋体" w:hint="eastAsia"/>
          <w:szCs w:val="21"/>
        </w:rPr>
        <w:t>投资者可通过本公司网站（</w:t>
      </w:r>
      <w:r>
        <w:rPr>
          <w:rFonts w:ascii="宋体" w:hAnsi="宋体"/>
          <w:szCs w:val="21"/>
        </w:rPr>
        <w:t>www.avicfund.cn）查询本基金的相关文件材料，亦可通过客户服务电话（400-666-2186）或客户服务邮箱（services@avicfund.cn）咨询本产品和服务相关事宜。</w:t>
      </w:r>
    </w:p>
    <w:p w:rsidR="00295BC3" w:rsidRPr="003B2DCE" w:rsidRDefault="00295BC3" w:rsidP="003B2DCE">
      <w:pPr>
        <w:pStyle w:val="2"/>
        <w:numPr>
          <w:ilvl w:val="0"/>
          <w:numId w:val="4"/>
        </w:numPr>
        <w:spacing w:beforeLines="50" w:afterLines="50" w:line="240" w:lineRule="auto"/>
        <w:jc w:val="left"/>
        <w:rPr>
          <w:rFonts w:ascii="宋体" w:eastAsia="宋体" w:hAnsi="宋体"/>
          <w:bCs/>
          <w:sz w:val="24"/>
          <w:szCs w:val="24"/>
        </w:rPr>
      </w:pPr>
      <w:r w:rsidRPr="003B2DCE">
        <w:rPr>
          <w:rFonts w:ascii="宋体" w:eastAsia="宋体" w:hAnsi="宋体" w:hint="eastAsia"/>
          <w:bCs/>
          <w:sz w:val="24"/>
          <w:szCs w:val="24"/>
        </w:rPr>
        <w:t>风险提示</w:t>
      </w:r>
    </w:p>
    <w:p w:rsidR="00295BC3" w:rsidRDefault="00295BC3">
      <w:pPr>
        <w:spacing w:line="360" w:lineRule="auto"/>
        <w:ind w:firstLineChars="200" w:firstLine="420"/>
        <w:jc w:val="left"/>
        <w:rPr>
          <w:rFonts w:ascii="宋体" w:hAnsi="宋体"/>
          <w:szCs w:val="21"/>
        </w:rPr>
      </w:pPr>
      <w:r>
        <w:rPr>
          <w:rFonts w:ascii="宋体" w:hAnsi="宋体" w:hint="eastAsia"/>
          <w:szCs w:val="21"/>
        </w:rPr>
        <w:t>本基金采取封闭式运作，封闭期为基金合同生效日起</w:t>
      </w:r>
      <w:r>
        <w:rPr>
          <w:rFonts w:ascii="宋体" w:hAnsi="宋体"/>
          <w:szCs w:val="21"/>
        </w:rPr>
        <w:t>21年，不开通申购赎回，只能在二级市场交易，公众投资者认购后，在场外渠道购买的份额需要转托管至场内方可交易。本基金为基础设施基金，投资基础设施基金可能面临以下风险：基金价格波动风险、基础设施项目运营风险、流动性风险、终止上市风险、税收等政策调整风险等。</w:t>
      </w:r>
    </w:p>
    <w:p w:rsidR="00295BC3" w:rsidRDefault="00295BC3">
      <w:pPr>
        <w:spacing w:line="360" w:lineRule="auto"/>
        <w:ind w:firstLineChars="200" w:firstLine="420"/>
        <w:jc w:val="left"/>
        <w:rPr>
          <w:rFonts w:ascii="宋体" w:hAnsi="宋体"/>
          <w:szCs w:val="21"/>
        </w:rPr>
      </w:pPr>
      <w:r>
        <w:rPr>
          <w:rFonts w:ascii="宋体" w:hAnsi="宋体" w:hint="eastAsia"/>
          <w:szCs w:val="21"/>
        </w:rPr>
        <w:t>本基金管理人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绩不代表未来表现，投资有风险，敬请投资人认真阅读本基金的《基金合同》、《招募说明书》、《产品资料概要》等相关法律文件，并选择适合自身风险承受能力的投资品种进行投资。</w:t>
      </w:r>
    </w:p>
    <w:p w:rsidR="00295BC3" w:rsidRDefault="00295BC3">
      <w:pPr>
        <w:spacing w:line="360" w:lineRule="auto"/>
        <w:ind w:firstLineChars="200" w:firstLine="420"/>
        <w:jc w:val="left"/>
        <w:rPr>
          <w:rFonts w:ascii="宋体" w:hAnsi="宋体"/>
          <w:szCs w:val="21"/>
        </w:rPr>
      </w:pPr>
      <w:r>
        <w:rPr>
          <w:rFonts w:ascii="宋体" w:hAnsi="宋体" w:hint="eastAsia"/>
          <w:szCs w:val="21"/>
        </w:rPr>
        <w:t>特此公告。</w:t>
      </w:r>
    </w:p>
    <w:p w:rsidR="004864C9" w:rsidRDefault="004864C9">
      <w:pPr>
        <w:spacing w:line="360" w:lineRule="auto"/>
        <w:ind w:firstLineChars="200" w:firstLine="420"/>
        <w:jc w:val="left"/>
        <w:rPr>
          <w:rFonts w:ascii="宋体" w:hAnsi="宋体"/>
          <w:szCs w:val="21"/>
        </w:rPr>
      </w:pPr>
    </w:p>
    <w:p w:rsidR="004864C9" w:rsidRDefault="004864C9">
      <w:pPr>
        <w:spacing w:line="360" w:lineRule="auto"/>
        <w:ind w:firstLineChars="200" w:firstLine="420"/>
        <w:jc w:val="left"/>
        <w:rPr>
          <w:rFonts w:ascii="宋体" w:hAnsi="宋体"/>
          <w:szCs w:val="21"/>
        </w:rPr>
      </w:pPr>
    </w:p>
    <w:p w:rsidR="004864C9" w:rsidRDefault="004864C9">
      <w:pPr>
        <w:spacing w:line="360" w:lineRule="auto"/>
        <w:ind w:firstLineChars="200" w:firstLine="420"/>
        <w:jc w:val="left"/>
        <w:rPr>
          <w:rFonts w:ascii="宋体" w:hAnsi="宋体"/>
          <w:szCs w:val="21"/>
        </w:rPr>
      </w:pPr>
    </w:p>
    <w:p w:rsidR="00295BC3" w:rsidRDefault="00295BC3" w:rsidP="00EB387E">
      <w:pPr>
        <w:spacing w:line="360" w:lineRule="auto"/>
        <w:ind w:firstLineChars="200" w:firstLine="480"/>
        <w:jc w:val="right"/>
        <w:rPr>
          <w:rFonts w:ascii="宋体" w:hAnsi="宋体"/>
          <w:sz w:val="24"/>
          <w:szCs w:val="30"/>
        </w:rPr>
      </w:pPr>
      <w:r>
        <w:rPr>
          <w:rFonts w:ascii="宋体" w:hAnsi="宋体" w:hint="eastAsia"/>
          <w:sz w:val="24"/>
          <w:szCs w:val="30"/>
        </w:rPr>
        <w:t>中航基金管理有限公司</w:t>
      </w:r>
    </w:p>
    <w:p w:rsidR="004864C9" w:rsidRDefault="00295BC3" w:rsidP="00EB387E">
      <w:pPr>
        <w:spacing w:line="360" w:lineRule="auto"/>
        <w:ind w:firstLineChars="200" w:firstLine="480"/>
        <w:jc w:val="right"/>
        <w:rPr>
          <w:rFonts w:ascii="宋体" w:hAnsi="宋体"/>
          <w:szCs w:val="21"/>
        </w:rPr>
      </w:pPr>
      <w:r>
        <w:rPr>
          <w:rFonts w:ascii="宋体" w:hAnsi="宋体"/>
          <w:sz w:val="24"/>
          <w:szCs w:val="30"/>
        </w:rPr>
        <w:t>2024年4月19日</w:t>
      </w:r>
    </w:p>
    <w:sectPr w:rsidR="004864C9">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9F1" w:rsidRDefault="003179F1" w:rsidP="00EB387E">
      <w:r>
        <w:separator/>
      </w:r>
    </w:p>
  </w:endnote>
  <w:endnote w:type="continuationSeparator" w:id="0">
    <w:p w:rsidR="003179F1" w:rsidRDefault="003179F1" w:rsidP="00EB387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BC3" w:rsidRDefault="00295BC3" w:rsidP="00295BC3">
    <w:pPr>
      <w:pStyle w:val="a3"/>
      <w:jc w:val="center"/>
    </w:pPr>
    <w:r>
      <w:rPr>
        <w:rFonts w:hint="eastAsia"/>
      </w:rPr>
      <w:t>第</w:t>
    </w:r>
    <w:r>
      <w:rPr>
        <w:rFonts w:hint="eastAsia"/>
      </w:rPr>
      <w:t xml:space="preserve"> </w:t>
    </w:r>
    <w:fldSimple w:instr=" PAGE   \* MERGEFORMAT ">
      <w:r w:rsidR="00B715E5">
        <w:rPr>
          <w:noProof/>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B715E5">
        <w:rPr>
          <w:noProof/>
        </w:rPr>
        <w:t>3</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9F1" w:rsidRDefault="003179F1" w:rsidP="00EB387E">
      <w:r>
        <w:separator/>
      </w:r>
    </w:p>
  </w:footnote>
  <w:footnote w:type="continuationSeparator" w:id="0">
    <w:p w:rsidR="003179F1" w:rsidRDefault="003179F1" w:rsidP="00EB38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BC3" w:rsidRDefault="00295BC3" w:rsidP="00295BC3">
    <w:pPr>
      <w:pStyle w:val="a5"/>
      <w:jc w:val="right"/>
    </w:pPr>
    <w:r>
      <w:rPr>
        <w:rFonts w:hint="eastAsia"/>
      </w:rPr>
      <w:t>中航基金管理有限公司关于中航首钢生物质封闭式基础设施证券投资基金收益分配的公告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0711B"/>
    <w:multiLevelType w:val="hybridMultilevel"/>
    <w:tmpl w:val="524EEA86"/>
    <w:lvl w:ilvl="0" w:tplc="6FB60FD2">
      <w:start w:val="3"/>
      <w:numFmt w:val="decimal"/>
      <w:lvlText w:val="%1、"/>
      <w:lvlJc w:val="left"/>
      <w:pPr>
        <w:ind w:left="720" w:hanging="72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DE1582B"/>
    <w:multiLevelType w:val="hybridMultilevel"/>
    <w:tmpl w:val="1C728902"/>
    <w:lvl w:ilvl="0" w:tplc="79BEC8A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B6B1E75"/>
    <w:multiLevelType w:val="hybridMultilevel"/>
    <w:tmpl w:val="E1E801F0"/>
    <w:lvl w:ilvl="0" w:tplc="08502F1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1D772D6"/>
    <w:multiLevelType w:val="hybridMultilevel"/>
    <w:tmpl w:val="9864BB7C"/>
    <w:lvl w:ilvl="0" w:tplc="81E2222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F2E6B80"/>
    <w:multiLevelType w:val="hybridMultilevel"/>
    <w:tmpl w:val="E6B2E5D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trackRevisions/>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61BFE"/>
    <w:rsid w:val="000A3EEC"/>
    <w:rsid w:val="000E2F3E"/>
    <w:rsid w:val="001C496F"/>
    <w:rsid w:val="00295BC3"/>
    <w:rsid w:val="003179F1"/>
    <w:rsid w:val="003B2DCE"/>
    <w:rsid w:val="004178F0"/>
    <w:rsid w:val="00417E40"/>
    <w:rsid w:val="0042246E"/>
    <w:rsid w:val="004864C9"/>
    <w:rsid w:val="004B50A6"/>
    <w:rsid w:val="005B12C3"/>
    <w:rsid w:val="005B60F7"/>
    <w:rsid w:val="0064527D"/>
    <w:rsid w:val="006655E0"/>
    <w:rsid w:val="006E16CF"/>
    <w:rsid w:val="0070495F"/>
    <w:rsid w:val="007155B3"/>
    <w:rsid w:val="00902DE9"/>
    <w:rsid w:val="00A21961"/>
    <w:rsid w:val="00A806D6"/>
    <w:rsid w:val="00AB1277"/>
    <w:rsid w:val="00B715E5"/>
    <w:rsid w:val="00B92944"/>
    <w:rsid w:val="00C15335"/>
    <w:rsid w:val="00C155E2"/>
    <w:rsid w:val="00C402BD"/>
    <w:rsid w:val="00E24F6A"/>
    <w:rsid w:val="00E706DC"/>
    <w:rsid w:val="00EB387E"/>
    <w:rsid w:val="00EE286C"/>
    <w:rsid w:val="00F15B2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1380" w:qFormat="1"/>
    <w:lsdException w:name="heading 5" w:locked="1" w:uiPriority="1606" w:unhideWhenUsed="0"/>
    <w:lsdException w:name="heading 6" w:uiPriority="886"/>
    <w:lsdException w:name="heading 7" w:locked="1" w:semiHidden="0" w:uiPriority="866" w:qFormat="1"/>
    <w:lsdException w:name="heading 8" w:semiHidden="0" w:uiPriority="819" w:unhideWhenUsed="0" w:qFormat="1"/>
    <w:lsdException w:name="heading 9" w:semiHidden="0" w:uiPriority="1622"/>
    <w:lsdException w:name="index 1" w:semiHidden="0" w:uiPriority="835" w:unhideWhenUsed="0" w:qFormat="1"/>
    <w:lsdException w:name="index 2" w:semiHidden="0" w:uiPriority="1590"/>
    <w:lsdException w:name="index 3" w:locked="1" w:uiPriority="787"/>
    <w:lsdException w:name="index 4" w:semiHidden="0" w:uiPriority="1635"/>
    <w:lsdException w:name="index 5" w:uiPriority="870" w:unhideWhenUsed="0"/>
    <w:lsdException w:name="index 6" w:uiPriority="1622" w:unhideWhenUsed="0"/>
    <w:lsdException w:name="index 7" w:semiHidden="0" w:uiPriority="883" w:unhideWhenUsed="0"/>
    <w:lsdException w:name="index 8" w:locked="1" w:semiHidden="0" w:uiPriority="514" w:qFormat="1"/>
    <w:lsdException w:name="index 9" w:locked="1" w:semiHidden="0" w:uiPriority="1236" w:unhideWhenUsed="0"/>
    <w:lsdException w:name="toc 1" w:locked="1" w:semiHidden="0" w:uiPriority="1171" w:unhideWhenUsed="0" w:qFormat="1"/>
    <w:lsdException w:name="toc 2" w:locked="1" w:uiPriority="818" w:qFormat="1"/>
    <w:lsdException w:name="toc 3" w:locked="1" w:semiHidden="0" w:uiPriority="1365" w:unhideWhenUsed="0" w:qFormat="1"/>
    <w:lsdException w:name="toc 4" w:locked="1" w:uiPriority="1653" w:unhideWhenUsed="0"/>
    <w:lsdException w:name="toc 5" w:semiHidden="0" w:uiPriority="1924" w:qFormat="1"/>
    <w:lsdException w:name="toc 6" w:locked="1" w:semiHidden="0" w:uiPriority="1239" w:unhideWhenUsed="0" w:qFormat="1"/>
    <w:lsdException w:name="toc 7" w:semiHidden="0" w:uiPriority="1671" w:unhideWhenUsed="0"/>
    <w:lsdException w:name="toc 8" w:uiPriority="1654"/>
    <w:lsdException w:name="toc 9" w:uiPriority="1318" w:unhideWhenUsed="0" w:qFormat="1"/>
    <w:lsdException w:name="Normal Indent" w:locked="1" w:semiHidden="0" w:uiPriority="903"/>
    <w:lsdException w:name="footnote text" w:semiHidden="0" w:uiPriority="1045"/>
    <w:lsdException w:name="annotation text" w:locked="1" w:semiHidden="0" w:uiPriority="97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szCs w:val="20"/>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Pr>
      <w:kern w:val="2"/>
      <w:sz w:val="18"/>
      <w:szCs w:val="18"/>
    </w:rPr>
  </w:style>
  <w:style w:type="character" w:customStyle="1" w:styleId="Char0">
    <w:name w:val="脚注文本 Char"/>
    <w:link w:val="a4"/>
    <w:rPr>
      <w:rFonts w:ascii="Times New Roman" w:hAnsi="Times New Roman"/>
      <w:kern w:val="2"/>
      <w:sz w:val="18"/>
    </w:rPr>
  </w:style>
  <w:style w:type="character" w:customStyle="1" w:styleId="2Char">
    <w:name w:val="标题 2 Char"/>
    <w:link w:val="2"/>
    <w:rPr>
      <w:rFonts w:ascii="Arial" w:eastAsia="黑体" w:hAnsi="Arial"/>
      <w:b/>
      <w:kern w:val="2"/>
      <w:sz w:val="32"/>
    </w:rPr>
  </w:style>
  <w:style w:type="character" w:customStyle="1" w:styleId="Char1">
    <w:name w:val="页眉 Char"/>
    <w:link w:val="a5"/>
    <w:rPr>
      <w:kern w:val="2"/>
      <w:sz w:val="18"/>
      <w:szCs w:val="18"/>
    </w:rPr>
  </w:style>
  <w:style w:type="character" w:styleId="a6">
    <w:name w:val="footnote reference"/>
    <w:rPr>
      <w:vertAlign w:val="superscript"/>
    </w:rPr>
  </w:style>
  <w:style w:type="paragraph" w:customStyle="1" w:styleId="Char2">
    <w:name w:val=" Char"/>
    <w:basedOn w:val="a"/>
    <w:rPr>
      <w:rFonts w:ascii="Times New Roman" w:hAnsi="Times New Roman"/>
      <w:szCs w:val="24"/>
    </w:rPr>
  </w:style>
  <w:style w:type="paragraph" w:styleId="a7">
    <w:name w:val="Document Map"/>
    <w:basedOn w:val="a"/>
    <w:pPr>
      <w:shd w:val="clear" w:color="auto" w:fill="000080"/>
    </w:p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lang/>
    </w:rPr>
  </w:style>
  <w:style w:type="paragraph" w:styleId="a3">
    <w:name w:val="footer"/>
    <w:basedOn w:val="a"/>
    <w:link w:val="Char"/>
    <w:pPr>
      <w:tabs>
        <w:tab w:val="center" w:pos="4153"/>
        <w:tab w:val="right" w:pos="8306"/>
      </w:tabs>
      <w:snapToGrid w:val="0"/>
      <w:jc w:val="left"/>
    </w:pPr>
    <w:rPr>
      <w:sz w:val="18"/>
      <w:szCs w:val="18"/>
      <w:lang/>
    </w:rPr>
  </w:style>
  <w:style w:type="paragraph" w:styleId="a4">
    <w:name w:val="footnote text"/>
    <w:basedOn w:val="a"/>
    <w:link w:val="Char0"/>
    <w:pPr>
      <w:snapToGrid w:val="0"/>
      <w:jc w:val="left"/>
    </w:pPr>
    <w:rPr>
      <w:rFonts w:ascii="Times New Roman" w:hAnsi="Times New Roman"/>
      <w:sz w:val="18"/>
      <w:szCs w:val="20"/>
      <w:lang/>
    </w:rPr>
  </w:style>
  <w:style w:type="paragraph" w:styleId="a8">
    <w:name w:val="Revision"/>
    <w:hidden/>
    <w:uiPriority w:val="99"/>
    <w:semiHidden/>
    <w:rsid w:val="00A21961"/>
    <w:rPr>
      <w:kern w:val="2"/>
      <w:sz w:val="21"/>
      <w:szCs w:val="22"/>
    </w:rPr>
  </w:style>
  <w:style w:type="character" w:styleId="a9">
    <w:name w:val="annotation reference"/>
    <w:uiPriority w:val="99"/>
    <w:semiHidden/>
    <w:unhideWhenUsed/>
    <w:rsid w:val="00A21961"/>
    <w:rPr>
      <w:sz w:val="21"/>
      <w:szCs w:val="21"/>
    </w:rPr>
  </w:style>
  <w:style w:type="paragraph" w:styleId="aa">
    <w:name w:val="annotation text"/>
    <w:basedOn w:val="a"/>
    <w:link w:val="ab"/>
    <w:unhideWhenUsed/>
    <w:qFormat/>
    <w:locked/>
    <w:rsid w:val="00A21961"/>
    <w:pPr>
      <w:jc w:val="left"/>
    </w:pPr>
  </w:style>
  <w:style w:type="character" w:customStyle="1" w:styleId="ab">
    <w:name w:val="批注文字 字符"/>
    <w:link w:val="aa"/>
    <w:rsid w:val="00A21961"/>
    <w:rPr>
      <w:kern w:val="2"/>
      <w:sz w:val="21"/>
      <w:szCs w:val="22"/>
    </w:rPr>
  </w:style>
  <w:style w:type="paragraph" w:styleId="ac">
    <w:name w:val="annotation subject"/>
    <w:basedOn w:val="aa"/>
    <w:next w:val="aa"/>
    <w:link w:val="ad"/>
    <w:uiPriority w:val="99"/>
    <w:semiHidden/>
    <w:unhideWhenUsed/>
    <w:rsid w:val="00A21961"/>
    <w:rPr>
      <w:b/>
      <w:bCs/>
    </w:rPr>
  </w:style>
  <w:style w:type="character" w:customStyle="1" w:styleId="ad">
    <w:name w:val="批注主题 字符"/>
    <w:link w:val="ac"/>
    <w:uiPriority w:val="99"/>
    <w:semiHidden/>
    <w:rsid w:val="00A21961"/>
    <w:rPr>
      <w:b/>
      <w:bCs/>
      <w:kern w:val="2"/>
      <w:sz w:val="21"/>
      <w:szCs w:val="22"/>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3</Pages>
  <Words>335</Words>
  <Characters>1914</Characters>
  <Application>Microsoft Office Word</Application>
  <DocSecurity>4</DocSecurity>
  <PresentationFormat/>
  <Lines>15</Lines>
  <Paragraphs>4</Paragraphs>
  <Slides>0</Slides>
  <Notes>0</Notes>
  <HiddenSlides>0</HiddenSlides>
  <MMClips>0</MMClips>
  <ScaleCrop>false</ScaleCrop>
  <Manager/>
  <Company/>
  <LinksUpToDate>false</LinksUpToDate>
  <CharactersWithSpaces>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ZHONGM</cp:lastModifiedBy>
  <cp:revision>2</cp:revision>
  <cp:lastPrinted>1899-12-30T00:00:00Z</cp:lastPrinted>
  <dcterms:created xsi:type="dcterms:W3CDTF">2024-04-18T16:03:00Z</dcterms:created>
  <dcterms:modified xsi:type="dcterms:W3CDTF">2024-04-18T16:03:00Z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