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8C" w:rsidRPr="00523433" w:rsidRDefault="004A58CF" w:rsidP="00523433">
      <w:pPr>
        <w:autoSpaceDE/>
        <w:autoSpaceDN/>
        <w:adjustRightInd/>
        <w:spacing w:line="360" w:lineRule="auto"/>
        <w:jc w:val="center"/>
        <w:rPr>
          <w:rFonts w:eastAsia="黑体"/>
          <w:b/>
          <w:bCs/>
          <w:color w:val="000000"/>
          <w:kern w:val="2"/>
          <w:sz w:val="30"/>
          <w:szCs w:val="30"/>
        </w:rPr>
      </w:pPr>
      <w:bookmarkStart w:id="0" w:name="_GoBack"/>
      <w:bookmarkEnd w:id="0"/>
      <w:r w:rsidRPr="004A58CF">
        <w:rPr>
          <w:rFonts w:eastAsia="黑体" w:hint="eastAsia"/>
          <w:b/>
          <w:bCs/>
          <w:color w:val="000000"/>
          <w:kern w:val="2"/>
          <w:sz w:val="30"/>
          <w:szCs w:val="30"/>
        </w:rPr>
        <w:t>天弘</w:t>
      </w:r>
      <w:r w:rsidR="00090A8C" w:rsidRPr="004A58CF">
        <w:rPr>
          <w:rFonts w:eastAsia="黑体" w:hint="eastAsia"/>
          <w:b/>
          <w:bCs/>
          <w:color w:val="000000"/>
          <w:kern w:val="2"/>
          <w:sz w:val="30"/>
          <w:szCs w:val="30"/>
        </w:rPr>
        <w:t>基金管理有限公司关于</w:t>
      </w:r>
      <w:r w:rsidR="00E61E82" w:rsidRPr="00E61E82">
        <w:rPr>
          <w:rFonts w:eastAsia="黑体" w:hint="eastAsia"/>
          <w:b/>
          <w:bCs/>
          <w:color w:val="000000"/>
          <w:kern w:val="2"/>
          <w:sz w:val="30"/>
          <w:szCs w:val="30"/>
        </w:rPr>
        <w:t>天弘中证沪港深物联网主题交易型开放式指数证券投资基金发起式联接基金</w:t>
      </w:r>
      <w:r w:rsidR="00090A8C" w:rsidRPr="004A58CF">
        <w:rPr>
          <w:rFonts w:eastAsia="黑体" w:hint="eastAsia"/>
          <w:b/>
          <w:bCs/>
          <w:color w:val="000000"/>
          <w:kern w:val="2"/>
          <w:sz w:val="30"/>
          <w:szCs w:val="30"/>
        </w:rPr>
        <w:t>在</w:t>
      </w:r>
      <w:r w:rsidR="00523433">
        <w:rPr>
          <w:rFonts w:eastAsia="黑体" w:hint="eastAsia"/>
          <w:b/>
          <w:bCs/>
          <w:color w:val="000000"/>
          <w:kern w:val="2"/>
          <w:sz w:val="30"/>
          <w:szCs w:val="30"/>
        </w:rPr>
        <w:t>2</w:t>
      </w:r>
      <w:r w:rsidR="00523433">
        <w:rPr>
          <w:rFonts w:eastAsia="黑体"/>
          <w:b/>
          <w:bCs/>
          <w:color w:val="000000"/>
          <w:kern w:val="2"/>
          <w:sz w:val="30"/>
          <w:szCs w:val="30"/>
        </w:rPr>
        <w:t>02</w:t>
      </w:r>
      <w:r w:rsidR="00E61E82">
        <w:rPr>
          <w:rFonts w:eastAsia="黑体" w:hint="eastAsia"/>
          <w:b/>
          <w:bCs/>
          <w:color w:val="000000"/>
          <w:kern w:val="2"/>
          <w:sz w:val="30"/>
          <w:szCs w:val="30"/>
        </w:rPr>
        <w:t>4</w:t>
      </w:r>
      <w:r w:rsidR="00523433">
        <w:rPr>
          <w:rFonts w:eastAsia="黑体" w:hint="eastAsia"/>
          <w:b/>
          <w:bCs/>
          <w:color w:val="000000"/>
          <w:kern w:val="2"/>
          <w:sz w:val="30"/>
          <w:szCs w:val="30"/>
        </w:rPr>
        <w:t>年</w:t>
      </w:r>
      <w:r w:rsidR="00090A8C" w:rsidRPr="004A58CF">
        <w:rPr>
          <w:rFonts w:eastAsia="黑体" w:hint="eastAsia"/>
          <w:b/>
          <w:bCs/>
          <w:color w:val="000000"/>
          <w:kern w:val="2"/>
          <w:sz w:val="30"/>
          <w:szCs w:val="30"/>
        </w:rPr>
        <w:t>非港股通交易日暂停申购、赎回</w:t>
      </w:r>
      <w:r w:rsidR="002D2415">
        <w:rPr>
          <w:rFonts w:eastAsia="黑体" w:hint="eastAsia"/>
          <w:b/>
          <w:bCs/>
          <w:color w:val="000000"/>
          <w:kern w:val="2"/>
          <w:sz w:val="30"/>
          <w:szCs w:val="30"/>
        </w:rPr>
        <w:t>等</w:t>
      </w:r>
      <w:r w:rsidR="00090A8C" w:rsidRPr="004A58CF">
        <w:rPr>
          <w:rFonts w:eastAsia="黑体" w:hint="eastAsia"/>
          <w:b/>
          <w:bCs/>
          <w:color w:val="000000"/>
          <w:kern w:val="2"/>
          <w:sz w:val="30"/>
          <w:szCs w:val="30"/>
        </w:rPr>
        <w:t>业务的公告</w:t>
      </w:r>
    </w:p>
    <w:p w:rsidR="00C46C1B" w:rsidRDefault="00C46C1B" w:rsidP="00D77CC9">
      <w:pPr>
        <w:pStyle w:val="a3"/>
        <w:kinsoku w:val="0"/>
        <w:overflowPunct w:val="0"/>
        <w:spacing w:line="341" w:lineRule="auto"/>
        <w:ind w:left="0" w:right="113" w:firstLine="0"/>
        <w:rPr>
          <w:rFonts w:ascii="仿宋_GB2312" w:eastAsia="仿宋_GB2312" w:hAnsi="宋体" w:cs="Times New Roman"/>
          <w:kern w:val="2"/>
        </w:rPr>
      </w:pPr>
    </w:p>
    <w:p w:rsidR="00547339" w:rsidRDefault="00C46C1B" w:rsidP="00C46C1B">
      <w:pPr>
        <w:pStyle w:val="a3"/>
        <w:kinsoku w:val="0"/>
        <w:overflowPunct w:val="0"/>
        <w:spacing w:line="341" w:lineRule="auto"/>
        <w:ind w:left="220" w:right="113" w:firstLineChars="200" w:firstLine="480"/>
        <w:jc w:val="both"/>
        <w:rPr>
          <w:rFonts w:ascii="仿宋_GB2312" w:eastAsia="仿宋_GB2312" w:hAnsi="宋体" w:cs="Times New Roman"/>
          <w:kern w:val="2"/>
        </w:rPr>
      </w:pPr>
      <w:r w:rsidRPr="004014E5">
        <w:rPr>
          <w:rFonts w:ascii="仿宋_GB2312" w:eastAsia="仿宋_GB2312" w:hAnsi="宋体" w:cs="Times New Roman" w:hint="eastAsia"/>
          <w:kern w:val="2"/>
        </w:rPr>
        <w:t>为保护基金份额持有人的利益，保障基金平稳运作，根据</w:t>
      </w:r>
      <w:r w:rsidR="00D45397" w:rsidRPr="00D45397">
        <w:rPr>
          <w:rFonts w:ascii="仿宋_GB2312" w:eastAsia="仿宋_GB2312" w:hAnsi="宋体" w:cs="Times New Roman" w:hint="eastAsia"/>
          <w:kern w:val="2"/>
        </w:rPr>
        <w:t>《关于2023年岁末及2024年沪港通下港股通交易日安排的通知》、《关于2023年底及2024年深港通下的港股通交易日安排的通知》</w:t>
      </w:r>
      <w:r w:rsidR="000E16AF">
        <w:rPr>
          <w:rFonts w:ascii="仿宋_GB2312" w:eastAsia="仿宋_GB2312" w:hAnsi="宋体" w:cs="Times New Roman" w:hint="eastAsia"/>
          <w:kern w:val="2"/>
        </w:rPr>
        <w:t>以及</w:t>
      </w:r>
      <w:r w:rsidR="00FE194E" w:rsidRPr="00FE194E">
        <w:rPr>
          <w:rFonts w:ascii="仿宋_GB2312" w:eastAsia="仿宋_GB2312" w:hAnsi="宋体" w:cs="Times New Roman" w:hint="eastAsia"/>
          <w:kern w:val="2"/>
        </w:rPr>
        <w:t>天弘中证沪港深物联网主题交易型开放式指数证券投资基金发起式联接基金</w:t>
      </w:r>
      <w:r w:rsidR="002211E6" w:rsidRPr="002211E6">
        <w:rPr>
          <w:rFonts w:ascii="仿宋_GB2312" w:eastAsia="仿宋_GB2312" w:hAnsi="宋体" w:cs="Times New Roman" w:hint="eastAsia"/>
          <w:kern w:val="2"/>
        </w:rPr>
        <w:t>（以下简称“本基金”）</w:t>
      </w:r>
      <w:r w:rsidR="002211E6">
        <w:rPr>
          <w:rFonts w:ascii="仿宋_GB2312" w:eastAsia="仿宋_GB2312" w:hAnsi="宋体" w:cs="Times New Roman" w:hint="eastAsia"/>
          <w:kern w:val="2"/>
        </w:rPr>
        <w:t>的</w:t>
      </w:r>
      <w:r w:rsidR="000E16AF" w:rsidRPr="00523433">
        <w:rPr>
          <w:rFonts w:ascii="仿宋_GB2312" w:eastAsia="仿宋_GB2312" w:hAnsi="宋体" w:cs="Times New Roman" w:hint="eastAsia"/>
          <w:kern w:val="2"/>
        </w:rPr>
        <w:t>《基金合同》、《招募说明书》中的有关规定</w:t>
      </w:r>
      <w:r w:rsidR="000E16AF">
        <w:rPr>
          <w:rFonts w:ascii="仿宋_GB2312" w:eastAsia="仿宋_GB2312" w:hAnsi="宋体" w:cs="Times New Roman" w:hint="eastAsia"/>
          <w:kern w:val="2"/>
        </w:rPr>
        <w:t>，天弘基金管理有限公司（以下简称“本公司”）决定</w:t>
      </w:r>
      <w:r w:rsidR="00D77CC9">
        <w:rPr>
          <w:rFonts w:ascii="仿宋_GB2312" w:eastAsia="仿宋_GB2312" w:hAnsi="宋体" w:cs="Times New Roman" w:hint="eastAsia"/>
          <w:kern w:val="2"/>
        </w:rPr>
        <w:t>除上海证券交易所和深圳证券交易所因境</w:t>
      </w:r>
      <w:r w:rsidR="007D76BE">
        <w:rPr>
          <w:rFonts w:ascii="仿宋_GB2312" w:eastAsia="仿宋_GB2312" w:hAnsi="宋体" w:cs="Times New Roman" w:hint="eastAsia"/>
          <w:kern w:val="2"/>
        </w:rPr>
        <w:t>内节假日休市外，</w:t>
      </w:r>
      <w:r w:rsidRPr="004A58CF">
        <w:rPr>
          <w:rFonts w:ascii="仿宋_GB2312" w:eastAsia="仿宋_GB2312" w:hAnsi="宋体" w:cs="Times New Roman" w:hint="eastAsia"/>
          <w:kern w:val="2"/>
        </w:rPr>
        <w:t>将在</w:t>
      </w:r>
      <w:r>
        <w:rPr>
          <w:rFonts w:ascii="仿宋_GB2312" w:eastAsia="仿宋_GB2312" w:hAnsi="宋体" w:cs="Times New Roman" w:hint="eastAsia"/>
          <w:kern w:val="2"/>
        </w:rPr>
        <w:t>下述</w:t>
      </w:r>
      <w:r w:rsidRPr="004A58CF">
        <w:rPr>
          <w:rFonts w:ascii="仿宋_GB2312" w:eastAsia="仿宋_GB2312" w:hAnsi="宋体" w:cs="Times New Roman" w:hint="eastAsia"/>
          <w:kern w:val="2"/>
        </w:rPr>
        <w:t>非港股通交易日暂停办理申购、赎回</w:t>
      </w:r>
      <w:r w:rsidR="007D76BE">
        <w:rPr>
          <w:rFonts w:ascii="仿宋_GB2312" w:eastAsia="仿宋_GB2312" w:hAnsi="宋体" w:cs="Times New Roman" w:hint="eastAsia"/>
          <w:kern w:val="2"/>
        </w:rPr>
        <w:t>等</w:t>
      </w:r>
      <w:r w:rsidRPr="004A58CF">
        <w:rPr>
          <w:rFonts w:ascii="仿宋_GB2312" w:eastAsia="仿宋_GB2312" w:hAnsi="宋体" w:cs="Times New Roman" w:hint="eastAsia"/>
          <w:kern w:val="2"/>
        </w:rPr>
        <w:t>业务，并将自非港股通交易日结束后首个开放日恢复办理申购、赎回</w:t>
      </w:r>
      <w:r w:rsidR="007D76BE">
        <w:rPr>
          <w:rFonts w:ascii="仿宋_GB2312" w:eastAsia="仿宋_GB2312" w:hAnsi="宋体" w:cs="Times New Roman" w:hint="eastAsia"/>
          <w:kern w:val="2"/>
        </w:rPr>
        <w:t>等</w:t>
      </w:r>
      <w:r w:rsidRPr="004A58CF">
        <w:rPr>
          <w:rFonts w:ascii="仿宋_GB2312" w:eastAsia="仿宋_GB2312" w:hAnsi="宋体" w:cs="Times New Roman" w:hint="eastAsia"/>
          <w:kern w:val="2"/>
        </w:rPr>
        <w:t>业务</w:t>
      </w:r>
      <w:r>
        <w:rPr>
          <w:rFonts w:ascii="仿宋_GB2312" w:eastAsia="仿宋_GB2312" w:hAnsi="宋体" w:cs="Times New Roman" w:hint="eastAsia"/>
          <w:kern w:val="2"/>
        </w:rPr>
        <w:t>，届时将不再另行公告</w:t>
      </w:r>
      <w:r w:rsidRPr="004A58CF">
        <w:rPr>
          <w:rFonts w:ascii="仿宋_GB2312" w:eastAsia="仿宋_GB2312" w:hAnsi="宋体" w:cs="Times New Roman" w:hint="eastAsia"/>
          <w:kern w:val="2"/>
        </w:rPr>
        <w:t>。</w:t>
      </w:r>
      <w:r w:rsidR="001A7FEF">
        <w:rPr>
          <w:rFonts w:ascii="仿宋_GB2312" w:eastAsia="仿宋_GB2312" w:hAnsi="宋体" w:cs="Times New Roman" w:hint="eastAsia"/>
          <w:kern w:val="2"/>
        </w:rPr>
        <w:t>具体情况如下：</w:t>
      </w:r>
    </w:p>
    <w:p w:rsidR="00523433" w:rsidRPr="00D77CC9" w:rsidRDefault="00523433" w:rsidP="00D77CC9">
      <w:pPr>
        <w:pStyle w:val="a3"/>
        <w:kinsoku w:val="0"/>
        <w:overflowPunct w:val="0"/>
        <w:spacing w:line="341" w:lineRule="auto"/>
        <w:ind w:left="700" w:right="113" w:firstLine="0"/>
        <w:jc w:val="both"/>
        <w:rPr>
          <w:rFonts w:ascii="仿宋_GB2312" w:eastAsia="仿宋_GB2312" w:hAnsi="宋体" w:cs="Times New Roman"/>
          <w:b/>
          <w:kern w:val="2"/>
        </w:rPr>
      </w:pPr>
      <w:r>
        <w:rPr>
          <w:rFonts w:ascii="仿宋_GB2312" w:eastAsia="仿宋_GB2312" w:hAnsi="宋体" w:cs="Times New Roman" w:hint="eastAsia"/>
          <w:b/>
          <w:kern w:val="2"/>
        </w:rPr>
        <w:t>一、</w:t>
      </w:r>
      <w:r w:rsidRPr="00D77CC9">
        <w:rPr>
          <w:rFonts w:ascii="仿宋_GB2312" w:eastAsia="仿宋_GB2312" w:hAnsi="宋体" w:cs="Times New Roman" w:hint="eastAsia"/>
          <w:b/>
          <w:kern w:val="2"/>
        </w:rPr>
        <w:t>适用基金</w:t>
      </w:r>
    </w:p>
    <w:tbl>
      <w:tblPr>
        <w:tblStyle w:val="ad"/>
        <w:tblW w:w="8505" w:type="dxa"/>
        <w:jc w:val="center"/>
        <w:tblLook w:val="04A0"/>
      </w:tblPr>
      <w:tblGrid>
        <w:gridCol w:w="1559"/>
        <w:gridCol w:w="6946"/>
      </w:tblGrid>
      <w:tr w:rsidR="00D0499E" w:rsidTr="002354AB">
        <w:trPr>
          <w:jc w:val="center"/>
        </w:trPr>
        <w:tc>
          <w:tcPr>
            <w:tcW w:w="1559" w:type="dxa"/>
          </w:tcPr>
          <w:p w:rsidR="00D0499E" w:rsidRPr="00D77CC9" w:rsidRDefault="00D0499E" w:rsidP="00B22116">
            <w:pPr>
              <w:pStyle w:val="a3"/>
              <w:kinsoku w:val="0"/>
              <w:overflowPunct w:val="0"/>
              <w:ind w:left="0" w:right="113" w:firstLine="0"/>
              <w:jc w:val="center"/>
              <w:rPr>
                <w:rFonts w:ascii="仿宋_GB2312" w:eastAsia="仿宋_GB2312" w:hAnsi="宋体" w:cs="Times New Roman"/>
                <w:b/>
                <w:kern w:val="2"/>
              </w:rPr>
            </w:pPr>
            <w:r w:rsidRPr="00D77CC9">
              <w:rPr>
                <w:rFonts w:ascii="仿宋_GB2312" w:eastAsia="仿宋_GB2312" w:hAnsi="宋体" w:cs="Times New Roman" w:hint="eastAsia"/>
                <w:b/>
                <w:kern w:val="2"/>
              </w:rPr>
              <w:t>基金代码</w:t>
            </w:r>
          </w:p>
        </w:tc>
        <w:tc>
          <w:tcPr>
            <w:tcW w:w="6946" w:type="dxa"/>
          </w:tcPr>
          <w:p w:rsidR="00D0499E" w:rsidRPr="00D77CC9" w:rsidRDefault="00D0499E" w:rsidP="00D77CC9">
            <w:pPr>
              <w:pStyle w:val="a3"/>
              <w:kinsoku w:val="0"/>
              <w:overflowPunct w:val="0"/>
              <w:ind w:left="0" w:right="113" w:firstLine="0"/>
              <w:jc w:val="center"/>
              <w:rPr>
                <w:rFonts w:ascii="仿宋_GB2312" w:eastAsia="仿宋_GB2312" w:hAnsi="宋体" w:cs="Times New Roman"/>
                <w:b/>
                <w:kern w:val="2"/>
              </w:rPr>
            </w:pPr>
            <w:r w:rsidRPr="00D77CC9">
              <w:rPr>
                <w:rFonts w:ascii="仿宋_GB2312" w:eastAsia="仿宋_GB2312" w:hAnsi="宋体" w:cs="Times New Roman" w:hint="eastAsia"/>
                <w:b/>
                <w:kern w:val="2"/>
              </w:rPr>
              <w:t>基金名称</w:t>
            </w:r>
          </w:p>
        </w:tc>
      </w:tr>
      <w:tr w:rsidR="00D0499E" w:rsidTr="002354AB">
        <w:trPr>
          <w:jc w:val="center"/>
        </w:trPr>
        <w:tc>
          <w:tcPr>
            <w:tcW w:w="1559" w:type="dxa"/>
            <w:vAlign w:val="center"/>
          </w:tcPr>
          <w:p w:rsidR="00D0499E" w:rsidRDefault="008D103C">
            <w:pPr>
              <w:pStyle w:val="a3"/>
              <w:kinsoku w:val="0"/>
              <w:overflowPunct w:val="0"/>
              <w:ind w:left="0" w:right="113" w:firstLine="0"/>
              <w:jc w:val="center"/>
              <w:rPr>
                <w:rFonts w:ascii="仿宋_GB2312" w:eastAsia="仿宋_GB2312" w:hAnsi="宋体" w:cs="Times New Roman"/>
                <w:kern w:val="2"/>
              </w:rPr>
            </w:pPr>
            <w:r w:rsidRPr="008D103C">
              <w:rPr>
                <w:rFonts w:ascii="仿宋_GB2312" w:eastAsia="仿宋_GB2312" w:hAnsi="宋体" w:cs="Times New Roman"/>
                <w:kern w:val="2"/>
              </w:rPr>
              <w:t>021159</w:t>
            </w:r>
          </w:p>
        </w:tc>
        <w:tc>
          <w:tcPr>
            <w:tcW w:w="6946" w:type="dxa"/>
          </w:tcPr>
          <w:p w:rsidR="00D0499E" w:rsidRDefault="00FA448A" w:rsidP="00D77CC9">
            <w:pPr>
              <w:pStyle w:val="a3"/>
              <w:kinsoku w:val="0"/>
              <w:overflowPunct w:val="0"/>
              <w:ind w:left="0" w:right="113" w:firstLine="0"/>
              <w:jc w:val="center"/>
              <w:rPr>
                <w:rFonts w:ascii="仿宋_GB2312" w:eastAsia="仿宋_GB2312" w:hAnsi="宋体" w:cs="Times New Roman"/>
                <w:kern w:val="2"/>
              </w:rPr>
            </w:pPr>
            <w:r w:rsidRPr="00FA448A">
              <w:rPr>
                <w:rFonts w:ascii="仿宋_GB2312" w:eastAsia="仿宋_GB2312" w:hAnsi="宋体" w:cs="Times New Roman" w:hint="eastAsia"/>
                <w:kern w:val="2"/>
              </w:rPr>
              <w:t>天弘中证沪港深物联网主题交易型开放式指数证券投资基金发起式联接基金</w:t>
            </w:r>
            <w:r w:rsidR="00DF4AB5" w:rsidRPr="00DF4AB5">
              <w:rPr>
                <w:rFonts w:ascii="仿宋_GB2312" w:eastAsia="仿宋_GB2312" w:hAnsi="宋体" w:cs="Times New Roman" w:hint="eastAsia"/>
                <w:kern w:val="2"/>
              </w:rPr>
              <w:t>A类基金份额</w:t>
            </w:r>
          </w:p>
        </w:tc>
      </w:tr>
      <w:tr w:rsidR="00DF4AB5" w:rsidTr="00BE3EFF">
        <w:trPr>
          <w:jc w:val="center"/>
        </w:trPr>
        <w:tc>
          <w:tcPr>
            <w:tcW w:w="1559" w:type="dxa"/>
            <w:vAlign w:val="center"/>
          </w:tcPr>
          <w:p w:rsidR="00DF4AB5" w:rsidRPr="00DE426F" w:rsidRDefault="008D103C" w:rsidP="00BE3EFF">
            <w:pPr>
              <w:pStyle w:val="a3"/>
              <w:kinsoku w:val="0"/>
              <w:overflowPunct w:val="0"/>
              <w:ind w:left="0" w:right="113" w:firstLine="0"/>
              <w:jc w:val="center"/>
              <w:rPr>
                <w:rFonts w:ascii="仿宋_GB2312" w:eastAsia="仿宋_GB2312" w:hAnsi="宋体" w:cs="Times New Roman"/>
                <w:kern w:val="2"/>
              </w:rPr>
            </w:pPr>
            <w:r w:rsidRPr="008D103C">
              <w:rPr>
                <w:rFonts w:ascii="仿宋_GB2312" w:eastAsia="仿宋_GB2312" w:hAnsi="宋体" w:cs="Times New Roman"/>
                <w:kern w:val="2"/>
              </w:rPr>
              <w:t>021160</w:t>
            </w:r>
          </w:p>
        </w:tc>
        <w:tc>
          <w:tcPr>
            <w:tcW w:w="6946" w:type="dxa"/>
          </w:tcPr>
          <w:p w:rsidR="00DF4AB5" w:rsidRPr="00DE426F" w:rsidRDefault="00FA448A" w:rsidP="00D77CC9">
            <w:pPr>
              <w:pStyle w:val="a3"/>
              <w:kinsoku w:val="0"/>
              <w:overflowPunct w:val="0"/>
              <w:ind w:left="0" w:right="113" w:firstLine="0"/>
              <w:jc w:val="center"/>
              <w:rPr>
                <w:rFonts w:ascii="仿宋_GB2312" w:eastAsia="仿宋_GB2312" w:hAnsi="宋体" w:cs="Times New Roman"/>
                <w:kern w:val="2"/>
              </w:rPr>
            </w:pPr>
            <w:r w:rsidRPr="00FA448A">
              <w:rPr>
                <w:rFonts w:ascii="仿宋_GB2312" w:eastAsia="仿宋_GB2312" w:hAnsi="宋体" w:cs="Times New Roman" w:hint="eastAsia"/>
                <w:kern w:val="2"/>
              </w:rPr>
              <w:t>天弘中证沪港深物联网主题交易型开放式指数证券投资基金发起式联接基金</w:t>
            </w:r>
            <w:r w:rsidR="00DF4AB5">
              <w:rPr>
                <w:rFonts w:ascii="仿宋_GB2312" w:eastAsia="仿宋_GB2312" w:hAnsi="宋体" w:cs="Times New Roman" w:hint="eastAsia"/>
                <w:kern w:val="2"/>
              </w:rPr>
              <w:t>C</w:t>
            </w:r>
            <w:r w:rsidR="00DF4AB5" w:rsidRPr="00DF4AB5">
              <w:rPr>
                <w:rFonts w:ascii="仿宋_GB2312" w:eastAsia="仿宋_GB2312" w:hAnsi="宋体" w:cs="Times New Roman" w:hint="eastAsia"/>
                <w:kern w:val="2"/>
              </w:rPr>
              <w:t>类基金份额</w:t>
            </w:r>
          </w:p>
        </w:tc>
      </w:tr>
    </w:tbl>
    <w:p w:rsidR="00523433" w:rsidRDefault="00523433" w:rsidP="00D77CC9">
      <w:pPr>
        <w:pStyle w:val="a3"/>
        <w:kinsoku w:val="0"/>
        <w:overflowPunct w:val="0"/>
        <w:spacing w:line="341" w:lineRule="auto"/>
        <w:ind w:right="113"/>
        <w:jc w:val="both"/>
        <w:rPr>
          <w:rFonts w:ascii="仿宋_GB2312" w:eastAsia="仿宋_GB2312" w:hAnsi="宋体" w:cs="Times New Roman"/>
          <w:kern w:val="2"/>
        </w:rPr>
      </w:pPr>
    </w:p>
    <w:p w:rsidR="00523433" w:rsidRDefault="00523433" w:rsidP="00D77CC9">
      <w:pPr>
        <w:pStyle w:val="a3"/>
        <w:kinsoku w:val="0"/>
        <w:overflowPunct w:val="0"/>
        <w:spacing w:line="341" w:lineRule="auto"/>
        <w:ind w:left="700" w:right="113" w:firstLine="0"/>
        <w:jc w:val="both"/>
        <w:rPr>
          <w:rFonts w:ascii="仿宋_GB2312" w:eastAsia="仿宋_GB2312" w:hAnsi="宋体" w:cs="Times New Roman"/>
          <w:b/>
          <w:kern w:val="2"/>
        </w:rPr>
      </w:pPr>
      <w:r w:rsidRPr="00D77CC9">
        <w:rPr>
          <w:rFonts w:ascii="仿宋_GB2312" w:eastAsia="仿宋_GB2312" w:hAnsi="宋体" w:cs="Times New Roman" w:hint="eastAsia"/>
          <w:b/>
          <w:kern w:val="2"/>
        </w:rPr>
        <w:t>二、</w:t>
      </w:r>
      <w:r w:rsidR="00275C69" w:rsidRPr="00D77CC9">
        <w:rPr>
          <w:rFonts w:ascii="仿宋_GB2312" w:eastAsia="仿宋_GB2312" w:hAnsi="宋体" w:cs="Times New Roman" w:hint="eastAsia"/>
          <w:b/>
          <w:kern w:val="2"/>
        </w:rPr>
        <w:t>非港股通交易日安排</w:t>
      </w:r>
    </w:p>
    <w:tbl>
      <w:tblPr>
        <w:tblStyle w:val="ad"/>
        <w:tblW w:w="0" w:type="auto"/>
        <w:jc w:val="center"/>
        <w:tblLook w:val="04A0"/>
      </w:tblPr>
      <w:tblGrid>
        <w:gridCol w:w="4320"/>
        <w:gridCol w:w="4320"/>
      </w:tblGrid>
      <w:tr w:rsidR="00275C69" w:rsidTr="00D24AD5">
        <w:trPr>
          <w:jc w:val="center"/>
        </w:trPr>
        <w:tc>
          <w:tcPr>
            <w:tcW w:w="4320" w:type="dxa"/>
            <w:vAlign w:val="center"/>
          </w:tcPr>
          <w:p w:rsidR="00275C69" w:rsidRPr="00275C69" w:rsidRDefault="00275C69" w:rsidP="00D77CC9">
            <w:pPr>
              <w:pStyle w:val="a3"/>
              <w:kinsoku w:val="0"/>
              <w:overflowPunct w:val="0"/>
              <w:ind w:left="0" w:right="113" w:firstLine="0"/>
              <w:jc w:val="center"/>
              <w:rPr>
                <w:rFonts w:ascii="仿宋_GB2312" w:eastAsia="仿宋_GB2312" w:hAnsi="宋体" w:cs="Times New Roman"/>
                <w:b/>
                <w:kern w:val="2"/>
              </w:rPr>
            </w:pPr>
            <w:r w:rsidRPr="00275C69">
              <w:rPr>
                <w:rFonts w:ascii="仿宋_GB2312" w:eastAsia="仿宋_GB2312" w:hAnsi="宋体" w:cs="Times New Roman" w:hint="eastAsia"/>
                <w:b/>
                <w:kern w:val="2"/>
              </w:rPr>
              <w:t>类型</w:t>
            </w:r>
          </w:p>
        </w:tc>
        <w:tc>
          <w:tcPr>
            <w:tcW w:w="4320" w:type="dxa"/>
            <w:vAlign w:val="center"/>
          </w:tcPr>
          <w:p w:rsidR="00275C69" w:rsidRPr="00275C69" w:rsidRDefault="00275C69" w:rsidP="00D77CC9">
            <w:pPr>
              <w:pStyle w:val="a3"/>
              <w:kinsoku w:val="0"/>
              <w:overflowPunct w:val="0"/>
              <w:ind w:left="0" w:right="113" w:firstLine="0"/>
              <w:jc w:val="center"/>
              <w:rPr>
                <w:rFonts w:ascii="仿宋_GB2312" w:eastAsia="仿宋_GB2312" w:hAnsi="宋体" w:cs="Times New Roman"/>
                <w:b/>
                <w:kern w:val="2"/>
              </w:rPr>
            </w:pPr>
            <w:r w:rsidRPr="00275C69">
              <w:rPr>
                <w:rFonts w:ascii="仿宋_GB2312" w:eastAsia="仿宋_GB2312" w:hAnsi="宋体" w:cs="Times New Roman" w:hint="eastAsia"/>
                <w:b/>
                <w:kern w:val="2"/>
              </w:rPr>
              <w:t>日期</w:t>
            </w:r>
          </w:p>
        </w:tc>
      </w:tr>
      <w:tr w:rsidR="003D2AD3" w:rsidTr="00D24AD5">
        <w:trPr>
          <w:jc w:val="center"/>
        </w:trPr>
        <w:tc>
          <w:tcPr>
            <w:tcW w:w="4320" w:type="dxa"/>
            <w:vMerge w:val="restart"/>
            <w:vAlign w:val="center"/>
          </w:tcPr>
          <w:p w:rsidR="003D2AD3" w:rsidRDefault="003D2AD3" w:rsidP="00D77CC9">
            <w:pPr>
              <w:pStyle w:val="a3"/>
              <w:kinsoku w:val="0"/>
              <w:overflowPunct w:val="0"/>
              <w:ind w:left="0" w:right="113"/>
              <w:jc w:val="center"/>
              <w:rPr>
                <w:rFonts w:ascii="仿宋_GB2312" w:eastAsia="仿宋_GB2312" w:hAnsi="宋体" w:cs="Times New Roman"/>
                <w:kern w:val="2"/>
              </w:rPr>
            </w:pPr>
            <w:r>
              <w:rPr>
                <w:rFonts w:ascii="仿宋_GB2312" w:eastAsia="仿宋_GB2312" w:hAnsi="宋体" w:cs="Times New Roman" w:hint="eastAsia"/>
                <w:kern w:val="2"/>
              </w:rPr>
              <w:t>2024</w:t>
            </w:r>
            <w:r w:rsidRPr="00D06C1A">
              <w:rPr>
                <w:rFonts w:ascii="仿宋_GB2312" w:eastAsia="仿宋_GB2312" w:hAnsi="宋体" w:cs="Times New Roman" w:hint="eastAsia"/>
                <w:kern w:val="2"/>
              </w:rPr>
              <w:t>年非港股通交易日</w:t>
            </w:r>
          </w:p>
        </w:tc>
        <w:tc>
          <w:tcPr>
            <w:tcW w:w="4320" w:type="dxa"/>
            <w:vAlign w:val="center"/>
          </w:tcPr>
          <w:p w:rsidR="003D2AD3" w:rsidRPr="00F00807" w:rsidRDefault="003D2AD3" w:rsidP="00150AC9">
            <w:pPr>
              <w:pStyle w:val="a3"/>
              <w:kinsoku w:val="0"/>
              <w:overflowPunct w:val="0"/>
              <w:ind w:left="0" w:right="113" w:firstLine="0"/>
              <w:jc w:val="center"/>
              <w:rPr>
                <w:rFonts w:ascii="仿宋_GB2312" w:eastAsia="仿宋_GB2312" w:hAnsi="宋体" w:cs="Times New Roman"/>
                <w:kern w:val="2"/>
              </w:rPr>
            </w:pPr>
            <w:r w:rsidRPr="00D72D1D">
              <w:rPr>
                <w:rFonts w:ascii="仿宋_GB2312" w:eastAsia="仿宋_GB2312" w:hAnsi="宋体" w:cs="Times New Roman" w:hint="eastAsia"/>
                <w:kern w:val="2"/>
              </w:rPr>
              <w:t>2024年5月15日</w:t>
            </w:r>
          </w:p>
        </w:tc>
      </w:tr>
      <w:tr w:rsidR="003D2AD3" w:rsidTr="00D24AD5">
        <w:trPr>
          <w:jc w:val="center"/>
        </w:trPr>
        <w:tc>
          <w:tcPr>
            <w:tcW w:w="4320" w:type="dxa"/>
            <w:vMerge/>
            <w:vAlign w:val="center"/>
          </w:tcPr>
          <w:p w:rsidR="003D2AD3" w:rsidRDefault="003D2AD3" w:rsidP="00D77CC9">
            <w:pPr>
              <w:pStyle w:val="a3"/>
              <w:kinsoku w:val="0"/>
              <w:overflowPunct w:val="0"/>
              <w:ind w:left="0" w:right="113"/>
              <w:jc w:val="center"/>
              <w:rPr>
                <w:rFonts w:ascii="仿宋_GB2312" w:eastAsia="仿宋_GB2312" w:hAnsi="宋体" w:cs="Times New Roman"/>
                <w:kern w:val="2"/>
              </w:rPr>
            </w:pPr>
          </w:p>
        </w:tc>
        <w:tc>
          <w:tcPr>
            <w:tcW w:w="4320" w:type="dxa"/>
            <w:vAlign w:val="center"/>
          </w:tcPr>
          <w:p w:rsidR="003D2AD3" w:rsidRPr="00F00807" w:rsidRDefault="003D2AD3" w:rsidP="00150AC9">
            <w:pPr>
              <w:pStyle w:val="a3"/>
              <w:kinsoku w:val="0"/>
              <w:overflowPunct w:val="0"/>
              <w:ind w:left="0" w:right="113" w:firstLine="0"/>
              <w:jc w:val="center"/>
              <w:rPr>
                <w:rFonts w:ascii="仿宋_GB2312" w:eastAsia="仿宋_GB2312" w:hAnsi="宋体" w:cs="Times New Roman"/>
                <w:kern w:val="2"/>
              </w:rPr>
            </w:pPr>
            <w:r w:rsidRPr="00DC290D">
              <w:rPr>
                <w:rFonts w:ascii="仿宋_GB2312" w:eastAsia="仿宋_GB2312" w:hAnsi="宋体" w:cs="Times New Roman" w:hint="eastAsia"/>
                <w:kern w:val="2"/>
              </w:rPr>
              <w:t>2024年7月1日</w:t>
            </w:r>
          </w:p>
        </w:tc>
      </w:tr>
      <w:tr w:rsidR="003D2AD3" w:rsidTr="00D24AD5">
        <w:trPr>
          <w:jc w:val="center"/>
        </w:trPr>
        <w:tc>
          <w:tcPr>
            <w:tcW w:w="4320" w:type="dxa"/>
            <w:vMerge/>
            <w:vAlign w:val="center"/>
          </w:tcPr>
          <w:p w:rsidR="003D2AD3" w:rsidRDefault="003D2AD3" w:rsidP="00D77CC9">
            <w:pPr>
              <w:pStyle w:val="a3"/>
              <w:kinsoku w:val="0"/>
              <w:overflowPunct w:val="0"/>
              <w:ind w:left="0" w:right="113"/>
              <w:jc w:val="center"/>
              <w:rPr>
                <w:rFonts w:ascii="仿宋_GB2312" w:eastAsia="仿宋_GB2312" w:hAnsi="宋体" w:cs="Times New Roman"/>
                <w:kern w:val="2"/>
              </w:rPr>
            </w:pPr>
          </w:p>
        </w:tc>
        <w:tc>
          <w:tcPr>
            <w:tcW w:w="4320" w:type="dxa"/>
            <w:vAlign w:val="center"/>
          </w:tcPr>
          <w:p w:rsidR="003D2AD3" w:rsidRPr="00F00807" w:rsidRDefault="003D2AD3" w:rsidP="00150AC9">
            <w:pPr>
              <w:pStyle w:val="a3"/>
              <w:kinsoku w:val="0"/>
              <w:overflowPunct w:val="0"/>
              <w:ind w:left="0" w:right="113" w:firstLine="0"/>
              <w:jc w:val="center"/>
              <w:rPr>
                <w:rFonts w:ascii="仿宋_GB2312" w:eastAsia="仿宋_GB2312" w:hAnsi="宋体" w:cs="Times New Roman"/>
                <w:kern w:val="2"/>
              </w:rPr>
            </w:pPr>
            <w:r w:rsidRPr="00DC290D">
              <w:rPr>
                <w:rFonts w:ascii="仿宋_GB2312" w:eastAsia="仿宋_GB2312" w:hAnsi="宋体" w:cs="Times New Roman" w:hint="eastAsia"/>
                <w:kern w:val="2"/>
              </w:rPr>
              <w:t>2024年9月18日</w:t>
            </w:r>
          </w:p>
        </w:tc>
      </w:tr>
      <w:tr w:rsidR="003D2AD3" w:rsidTr="00D24AD5">
        <w:trPr>
          <w:jc w:val="center"/>
        </w:trPr>
        <w:tc>
          <w:tcPr>
            <w:tcW w:w="4320" w:type="dxa"/>
            <w:vMerge/>
            <w:vAlign w:val="center"/>
          </w:tcPr>
          <w:p w:rsidR="003D2AD3" w:rsidRPr="00D77CC9" w:rsidRDefault="003D2AD3" w:rsidP="00D77CC9">
            <w:pPr>
              <w:pStyle w:val="a3"/>
              <w:kinsoku w:val="0"/>
              <w:overflowPunct w:val="0"/>
              <w:ind w:left="0" w:right="113" w:firstLine="0"/>
              <w:jc w:val="center"/>
              <w:rPr>
                <w:rFonts w:ascii="仿宋_GB2312" w:eastAsia="仿宋_GB2312" w:hAnsi="宋体" w:cs="Times New Roman"/>
                <w:kern w:val="2"/>
              </w:rPr>
            </w:pPr>
          </w:p>
        </w:tc>
        <w:tc>
          <w:tcPr>
            <w:tcW w:w="4320" w:type="dxa"/>
            <w:vAlign w:val="center"/>
          </w:tcPr>
          <w:p w:rsidR="003D2AD3" w:rsidRPr="00F00807" w:rsidRDefault="003D2AD3" w:rsidP="00150AC9">
            <w:pPr>
              <w:pStyle w:val="a3"/>
              <w:kinsoku w:val="0"/>
              <w:overflowPunct w:val="0"/>
              <w:ind w:left="0" w:right="113" w:firstLine="0"/>
              <w:jc w:val="center"/>
              <w:rPr>
                <w:rFonts w:ascii="仿宋_GB2312" w:eastAsia="仿宋_GB2312" w:hAnsi="宋体" w:cs="Times New Roman"/>
                <w:kern w:val="2"/>
              </w:rPr>
            </w:pPr>
            <w:r w:rsidRPr="00DC290D">
              <w:rPr>
                <w:rFonts w:ascii="仿宋_GB2312" w:eastAsia="仿宋_GB2312" w:hAnsi="宋体" w:cs="Times New Roman" w:hint="eastAsia"/>
                <w:kern w:val="2"/>
              </w:rPr>
              <w:t>2024年10月11日</w:t>
            </w:r>
            <w:r w:rsidRPr="00F00807" w:rsidDel="00C15CF7">
              <w:rPr>
                <w:rFonts w:ascii="仿宋_GB2312" w:eastAsia="仿宋_GB2312" w:hAnsi="宋体" w:cs="Times New Roman"/>
                <w:kern w:val="2"/>
              </w:rPr>
              <w:t xml:space="preserve"> </w:t>
            </w:r>
          </w:p>
        </w:tc>
      </w:tr>
      <w:tr w:rsidR="003D2AD3" w:rsidTr="00D24AD5">
        <w:trPr>
          <w:jc w:val="center"/>
        </w:trPr>
        <w:tc>
          <w:tcPr>
            <w:tcW w:w="4320" w:type="dxa"/>
            <w:vMerge/>
            <w:vAlign w:val="center"/>
          </w:tcPr>
          <w:p w:rsidR="003D2AD3" w:rsidRPr="00D77CC9" w:rsidRDefault="003D2AD3" w:rsidP="00D77CC9">
            <w:pPr>
              <w:pStyle w:val="a3"/>
              <w:kinsoku w:val="0"/>
              <w:overflowPunct w:val="0"/>
              <w:ind w:left="0" w:right="113" w:firstLine="0"/>
              <w:jc w:val="center"/>
              <w:rPr>
                <w:rFonts w:ascii="仿宋_GB2312" w:eastAsia="仿宋_GB2312" w:hAnsi="宋体" w:cs="Times New Roman"/>
                <w:kern w:val="2"/>
              </w:rPr>
            </w:pPr>
          </w:p>
        </w:tc>
        <w:tc>
          <w:tcPr>
            <w:tcW w:w="4320" w:type="dxa"/>
            <w:vAlign w:val="center"/>
          </w:tcPr>
          <w:p w:rsidR="003D2AD3" w:rsidRPr="00F00807" w:rsidRDefault="003D2AD3" w:rsidP="00D77CC9">
            <w:pPr>
              <w:pStyle w:val="a3"/>
              <w:kinsoku w:val="0"/>
              <w:overflowPunct w:val="0"/>
              <w:ind w:left="0" w:right="113" w:firstLine="0"/>
              <w:jc w:val="center"/>
              <w:rPr>
                <w:rFonts w:ascii="仿宋_GB2312" w:eastAsia="仿宋_GB2312" w:hAnsi="宋体" w:cs="Times New Roman"/>
                <w:kern w:val="2"/>
              </w:rPr>
            </w:pPr>
            <w:r w:rsidRPr="00DC290D">
              <w:rPr>
                <w:rFonts w:ascii="仿宋_GB2312" w:eastAsia="仿宋_GB2312" w:hAnsi="宋体" w:cs="Times New Roman" w:hint="eastAsia"/>
                <w:kern w:val="2"/>
              </w:rPr>
              <w:t>2024年12月24日至2024年12月26日</w:t>
            </w:r>
          </w:p>
        </w:tc>
      </w:tr>
    </w:tbl>
    <w:p w:rsidR="00C46C1B" w:rsidRDefault="000E16AF" w:rsidP="00D77CC9">
      <w:pPr>
        <w:pStyle w:val="a3"/>
        <w:kinsoku w:val="0"/>
        <w:overflowPunct w:val="0"/>
        <w:spacing w:before="48" w:line="386" w:lineRule="auto"/>
        <w:ind w:left="0" w:right="231" w:firstLine="0"/>
        <w:jc w:val="both"/>
        <w:rPr>
          <w:rFonts w:ascii="仿宋_GB2312" w:eastAsia="仿宋_GB2312" w:hAnsi="宋体" w:cs="Times New Roman"/>
          <w:kern w:val="2"/>
        </w:rPr>
      </w:pPr>
      <w:r>
        <w:rPr>
          <w:rFonts w:ascii="仿宋_GB2312" w:eastAsia="仿宋_GB2312" w:hAnsi="宋体" w:cs="Times New Roman" w:hint="eastAsia"/>
          <w:kern w:val="2"/>
        </w:rPr>
        <w:t xml:space="preserve"> </w:t>
      </w:r>
      <w:r w:rsidR="00090A8C" w:rsidRPr="006F2F13">
        <w:rPr>
          <w:rFonts w:ascii="仿宋_GB2312" w:eastAsia="仿宋_GB2312" w:hAnsi="宋体" w:cs="Times New Roman" w:hint="eastAsia"/>
          <w:kern w:val="2"/>
        </w:rPr>
        <w:t>注：</w:t>
      </w:r>
      <w:r w:rsidR="00090A8C" w:rsidRPr="006F2F13">
        <w:rPr>
          <w:rFonts w:ascii="仿宋_GB2312" w:eastAsia="仿宋_GB2312" w:hAnsi="宋体" w:cs="Times New Roman"/>
          <w:kern w:val="2"/>
        </w:rPr>
        <w:t>1</w:t>
      </w:r>
      <w:r w:rsidR="00E13D95">
        <w:rPr>
          <w:rFonts w:ascii="仿宋_GB2312" w:eastAsia="仿宋_GB2312" w:hAnsi="宋体" w:cs="Times New Roman" w:hint="eastAsia"/>
          <w:kern w:val="2"/>
        </w:rPr>
        <w:t>、</w:t>
      </w:r>
      <w:r w:rsidR="000E28C6" w:rsidRPr="000E28C6">
        <w:rPr>
          <w:rFonts w:ascii="仿宋_GB2312" w:eastAsia="仿宋_GB2312" w:hAnsi="宋体" w:cs="Times New Roman" w:hint="eastAsia"/>
          <w:kern w:val="2"/>
        </w:rPr>
        <w:t>上述非港股通交易日已剔除和沪、深交易所非交易日重合的日期。</w:t>
      </w:r>
    </w:p>
    <w:p w:rsidR="00090A8C" w:rsidRDefault="00C46C1B" w:rsidP="00E23109">
      <w:pPr>
        <w:pStyle w:val="a3"/>
        <w:kinsoku w:val="0"/>
        <w:overflowPunct w:val="0"/>
        <w:spacing w:before="48" w:line="386" w:lineRule="auto"/>
        <w:ind w:left="220" w:right="231" w:firstLine="419"/>
        <w:jc w:val="both"/>
        <w:rPr>
          <w:rFonts w:ascii="仿宋_GB2312" w:eastAsia="仿宋_GB2312" w:hAnsi="宋体" w:cs="Times New Roman"/>
          <w:kern w:val="2"/>
        </w:rPr>
      </w:pPr>
      <w:r>
        <w:rPr>
          <w:rFonts w:ascii="仿宋_GB2312" w:eastAsia="仿宋_GB2312" w:hAnsi="宋体" w:cs="Times New Roman" w:hint="eastAsia"/>
          <w:kern w:val="2"/>
        </w:rPr>
        <w:t>2、</w:t>
      </w:r>
      <w:r w:rsidR="00EE4A36" w:rsidRPr="00EE4A36">
        <w:rPr>
          <w:rFonts w:ascii="仿宋_GB2312" w:eastAsia="仿宋_GB2312" w:hAnsi="宋体" w:cs="Times New Roman" w:hint="eastAsia"/>
          <w:kern w:val="2"/>
        </w:rPr>
        <w:t>2024年12月30日至12月31</w:t>
      </w:r>
      <w:r w:rsidR="00B54B1E">
        <w:rPr>
          <w:rFonts w:ascii="仿宋_GB2312" w:eastAsia="仿宋_GB2312" w:hAnsi="宋体" w:cs="Times New Roman" w:hint="eastAsia"/>
          <w:kern w:val="2"/>
        </w:rPr>
        <w:t>日若暂停本</w:t>
      </w:r>
      <w:r w:rsidR="00EE4A36" w:rsidRPr="00EE4A36">
        <w:rPr>
          <w:rFonts w:ascii="仿宋_GB2312" w:eastAsia="仿宋_GB2312" w:hAnsi="宋体" w:cs="Times New Roman" w:hint="eastAsia"/>
          <w:kern w:val="2"/>
        </w:rPr>
        <w:t>基金的申购、赎回等业务，将待中国证监会关于2025年节假日放假和休市安排确定后由本公司另行通知。</w:t>
      </w:r>
    </w:p>
    <w:p w:rsidR="006C05BF" w:rsidRDefault="00C46C1B" w:rsidP="006C05BF">
      <w:pPr>
        <w:pStyle w:val="a3"/>
        <w:kinsoku w:val="0"/>
        <w:overflowPunct w:val="0"/>
        <w:spacing w:before="65" w:line="386" w:lineRule="auto"/>
        <w:ind w:right="231"/>
        <w:jc w:val="both"/>
        <w:rPr>
          <w:rFonts w:ascii="仿宋_GB2312" w:eastAsia="仿宋_GB2312" w:hAnsi="宋体" w:cs="Times New Roman"/>
          <w:kern w:val="2"/>
        </w:rPr>
      </w:pPr>
      <w:r>
        <w:rPr>
          <w:rFonts w:ascii="仿宋_GB2312" w:eastAsia="仿宋_GB2312" w:hAnsi="宋体" w:cs="Times New Roman"/>
          <w:kern w:val="2"/>
        </w:rPr>
        <w:t>3</w:t>
      </w:r>
      <w:r w:rsidR="006C05BF">
        <w:rPr>
          <w:rFonts w:ascii="仿宋_GB2312" w:eastAsia="仿宋_GB2312" w:hAnsi="宋体" w:cs="Times New Roman" w:hint="eastAsia"/>
          <w:kern w:val="2"/>
        </w:rPr>
        <w:t>、</w:t>
      </w:r>
      <w:r w:rsidR="006C05BF" w:rsidRPr="009F3188">
        <w:rPr>
          <w:rFonts w:ascii="仿宋_GB2312" w:eastAsia="仿宋_GB2312" w:hAnsi="宋体" w:cs="Times New Roman" w:hint="eastAsia"/>
          <w:kern w:val="2"/>
        </w:rPr>
        <w:t>如遇</w:t>
      </w:r>
      <w:r w:rsidR="00A046D6">
        <w:rPr>
          <w:rFonts w:ascii="仿宋_GB2312" w:eastAsia="仿宋_GB2312" w:hAnsi="宋体" w:cs="Times New Roman" w:hint="eastAsia"/>
          <w:kern w:val="2"/>
        </w:rPr>
        <w:t>本</w:t>
      </w:r>
      <w:r w:rsidR="006C05BF" w:rsidRPr="009F3188">
        <w:rPr>
          <w:rFonts w:ascii="仿宋_GB2312" w:eastAsia="仿宋_GB2312" w:hAnsi="宋体" w:cs="Times New Roman" w:hint="eastAsia"/>
          <w:kern w:val="2"/>
        </w:rPr>
        <w:t>基金因其他原因暂停申购、赎回</w:t>
      </w:r>
      <w:r w:rsidR="005B35CD">
        <w:rPr>
          <w:rFonts w:ascii="仿宋_GB2312" w:eastAsia="仿宋_GB2312" w:hAnsi="宋体" w:cs="Times New Roman" w:hint="eastAsia"/>
          <w:kern w:val="2"/>
        </w:rPr>
        <w:t>等</w:t>
      </w:r>
      <w:r w:rsidR="006C05BF" w:rsidRPr="009F3188">
        <w:rPr>
          <w:rFonts w:ascii="仿宋_GB2312" w:eastAsia="仿宋_GB2312" w:hAnsi="宋体" w:cs="Times New Roman" w:hint="eastAsia"/>
          <w:kern w:val="2"/>
        </w:rPr>
        <w:t>业务的，具体业务办理以相关公告为准。</w:t>
      </w:r>
    </w:p>
    <w:p w:rsidR="0041514C" w:rsidRPr="0041514C" w:rsidRDefault="0041514C" w:rsidP="0041514C">
      <w:pPr>
        <w:pStyle w:val="a3"/>
        <w:kinsoku w:val="0"/>
        <w:overflowPunct w:val="0"/>
        <w:spacing w:before="65" w:line="386" w:lineRule="auto"/>
        <w:ind w:left="220" w:right="231" w:firstLine="419"/>
        <w:jc w:val="both"/>
        <w:rPr>
          <w:rFonts w:ascii="仿宋_GB2312" w:eastAsia="仿宋_GB2312" w:hAnsi="宋体" w:cs="Times New Roman"/>
          <w:kern w:val="2"/>
        </w:rPr>
      </w:pPr>
      <w:r w:rsidRPr="0041514C">
        <w:rPr>
          <w:rFonts w:ascii="仿宋_GB2312" w:eastAsia="仿宋_GB2312" w:hAnsi="宋体" w:cs="Times New Roman" w:hint="eastAsia"/>
          <w:kern w:val="2"/>
        </w:rPr>
        <w:t>投资者可登录基金管理人网站（</w:t>
      </w:r>
      <w:r w:rsidRPr="0041514C">
        <w:rPr>
          <w:rFonts w:ascii="仿宋_GB2312" w:eastAsia="仿宋_GB2312" w:hAnsi="宋体" w:cs="Times New Roman"/>
          <w:kern w:val="2"/>
        </w:rPr>
        <w:t>www.thfund.com.cn</w:t>
      </w:r>
      <w:r w:rsidRPr="0041514C">
        <w:rPr>
          <w:rFonts w:ascii="仿宋_GB2312" w:eastAsia="仿宋_GB2312" w:hAnsi="宋体" w:cs="Times New Roman" w:hint="eastAsia"/>
          <w:kern w:val="2"/>
        </w:rPr>
        <w:t>）或拨打客户服务电话（</w:t>
      </w:r>
      <w:r w:rsidRPr="0041514C">
        <w:rPr>
          <w:rFonts w:ascii="仿宋_GB2312" w:eastAsia="仿宋_GB2312" w:hAnsi="宋体" w:cs="Times New Roman"/>
          <w:kern w:val="2"/>
        </w:rPr>
        <w:t>95046</w:t>
      </w:r>
      <w:r w:rsidR="0081206B">
        <w:rPr>
          <w:rFonts w:ascii="仿宋_GB2312" w:eastAsia="仿宋_GB2312" w:hAnsi="宋体" w:cs="Times New Roman" w:hint="eastAsia"/>
          <w:kern w:val="2"/>
        </w:rPr>
        <w:t>）了解</w:t>
      </w:r>
      <w:r w:rsidR="00DA32F5">
        <w:rPr>
          <w:rFonts w:ascii="仿宋_GB2312" w:eastAsia="仿宋_GB2312" w:hAnsi="宋体" w:cs="Times New Roman" w:hint="eastAsia"/>
          <w:kern w:val="2"/>
        </w:rPr>
        <w:t>本</w:t>
      </w:r>
      <w:r w:rsidRPr="0041514C">
        <w:rPr>
          <w:rFonts w:ascii="仿宋_GB2312" w:eastAsia="仿宋_GB2312" w:hAnsi="宋体" w:cs="Times New Roman" w:hint="eastAsia"/>
          <w:kern w:val="2"/>
        </w:rPr>
        <w:t>基金的相关事宜。</w:t>
      </w:r>
    </w:p>
    <w:p w:rsidR="00090A8C" w:rsidRPr="009F3188" w:rsidRDefault="00090A8C" w:rsidP="0041514C">
      <w:pPr>
        <w:pStyle w:val="a3"/>
        <w:kinsoku w:val="0"/>
        <w:overflowPunct w:val="0"/>
        <w:spacing w:before="65" w:line="386" w:lineRule="auto"/>
        <w:ind w:left="220" w:right="231" w:firstLine="419"/>
        <w:jc w:val="both"/>
        <w:rPr>
          <w:rFonts w:ascii="仿宋_GB2312" w:eastAsia="仿宋_GB2312" w:hAnsi="宋体" w:cs="Times New Roman"/>
          <w:kern w:val="2"/>
        </w:rPr>
      </w:pPr>
      <w:r w:rsidRPr="009F3188">
        <w:rPr>
          <w:rFonts w:ascii="仿宋_GB2312" w:eastAsia="仿宋_GB2312" w:hAnsi="宋体" w:cs="Times New Roman" w:hint="eastAsia"/>
          <w:kern w:val="2"/>
        </w:rPr>
        <w:lastRenderedPageBreak/>
        <w:t>特此公告</w:t>
      </w:r>
      <w:r w:rsidR="00C46C1B">
        <w:rPr>
          <w:rFonts w:ascii="仿宋_GB2312" w:eastAsia="仿宋_GB2312" w:hAnsi="宋体" w:cs="Times New Roman" w:hint="eastAsia"/>
          <w:kern w:val="2"/>
        </w:rPr>
        <w:t>。</w:t>
      </w:r>
    </w:p>
    <w:p w:rsidR="00090A8C" w:rsidRDefault="00090A8C">
      <w:pPr>
        <w:pStyle w:val="a3"/>
        <w:kinsoku w:val="0"/>
        <w:overflowPunct w:val="0"/>
        <w:ind w:left="0" w:firstLine="0"/>
      </w:pPr>
    </w:p>
    <w:p w:rsidR="00090A8C" w:rsidRDefault="00090A8C">
      <w:pPr>
        <w:pStyle w:val="a3"/>
        <w:kinsoku w:val="0"/>
        <w:overflowPunct w:val="0"/>
        <w:ind w:left="0" w:firstLine="0"/>
      </w:pPr>
    </w:p>
    <w:p w:rsidR="00090A8C" w:rsidRPr="0041514C" w:rsidRDefault="00090A8C" w:rsidP="0041514C">
      <w:pPr>
        <w:pStyle w:val="a3"/>
        <w:kinsoku w:val="0"/>
        <w:overflowPunct w:val="0"/>
        <w:spacing w:before="65" w:line="386" w:lineRule="auto"/>
        <w:ind w:left="220" w:right="231" w:firstLine="419"/>
        <w:jc w:val="both"/>
        <w:rPr>
          <w:rFonts w:ascii="仿宋_GB2312" w:eastAsia="仿宋_GB2312" w:hAnsi="宋体" w:cs="Times New Roman"/>
          <w:kern w:val="2"/>
        </w:rPr>
      </w:pPr>
    </w:p>
    <w:p w:rsidR="007C62EC" w:rsidRDefault="007C62EC" w:rsidP="007C62EC">
      <w:pPr>
        <w:pStyle w:val="a3"/>
        <w:kinsoku w:val="0"/>
        <w:overflowPunct w:val="0"/>
        <w:spacing w:before="65" w:line="386" w:lineRule="auto"/>
        <w:ind w:left="220" w:right="231" w:firstLine="419"/>
        <w:jc w:val="right"/>
        <w:rPr>
          <w:rFonts w:ascii="仿宋_GB2312" w:eastAsia="仿宋_GB2312" w:hAnsi="宋体" w:cs="Times New Roman"/>
          <w:kern w:val="2"/>
        </w:rPr>
      </w:pPr>
      <w:r>
        <w:rPr>
          <w:rFonts w:ascii="仿宋_GB2312" w:eastAsia="仿宋_GB2312" w:hAnsi="宋体" w:cs="Times New Roman" w:hint="eastAsia"/>
          <w:kern w:val="2"/>
        </w:rPr>
        <w:t>天弘</w:t>
      </w:r>
      <w:r w:rsidRPr="0041514C">
        <w:rPr>
          <w:rFonts w:ascii="仿宋_GB2312" w:eastAsia="仿宋_GB2312" w:hAnsi="宋体" w:cs="Times New Roman" w:hint="eastAsia"/>
          <w:kern w:val="2"/>
        </w:rPr>
        <w:t>基金管理有限公司</w:t>
      </w:r>
      <w:r w:rsidRPr="0041514C">
        <w:rPr>
          <w:rFonts w:ascii="仿宋_GB2312" w:eastAsia="仿宋_GB2312" w:hAnsi="宋体" w:cs="Times New Roman"/>
          <w:kern w:val="2"/>
        </w:rPr>
        <w:t xml:space="preserve"> </w:t>
      </w:r>
    </w:p>
    <w:p w:rsidR="00090A8C" w:rsidRPr="0041514C" w:rsidRDefault="007C62EC" w:rsidP="007C62EC">
      <w:pPr>
        <w:pStyle w:val="a3"/>
        <w:kinsoku w:val="0"/>
        <w:overflowPunct w:val="0"/>
        <w:spacing w:before="65" w:line="386" w:lineRule="auto"/>
        <w:ind w:left="220" w:right="231" w:firstLine="419"/>
        <w:jc w:val="right"/>
        <w:rPr>
          <w:rFonts w:ascii="仿宋_GB2312" w:eastAsia="仿宋_GB2312" w:hAnsi="宋体" w:cs="Times New Roman"/>
          <w:kern w:val="2"/>
        </w:rPr>
      </w:pPr>
      <w:r>
        <w:rPr>
          <w:rFonts w:ascii="仿宋_GB2312" w:eastAsia="仿宋_GB2312" w:hAnsi="宋体" w:cs="Times New Roman" w:hint="eastAsia"/>
          <w:kern w:val="2"/>
        </w:rPr>
        <w:t>二</w:t>
      </w:r>
      <w:r w:rsidRPr="006C05BF">
        <w:rPr>
          <w:rFonts w:ascii="仿宋_GB2312" w:eastAsia="仿宋_GB2312" w:hAnsi="宋体" w:cs="Times New Roman" w:hint="eastAsia"/>
          <w:kern w:val="2"/>
        </w:rPr>
        <w:t>〇二</w:t>
      </w:r>
      <w:r w:rsidR="00A71115">
        <w:rPr>
          <w:rFonts w:ascii="仿宋_GB2312" w:eastAsia="仿宋_GB2312" w:hAnsi="宋体" w:cs="Times New Roman" w:hint="eastAsia"/>
          <w:kern w:val="2"/>
        </w:rPr>
        <w:t>四</w:t>
      </w:r>
      <w:r w:rsidRPr="0041514C">
        <w:rPr>
          <w:rFonts w:ascii="仿宋_GB2312" w:eastAsia="仿宋_GB2312" w:hAnsi="宋体" w:cs="Times New Roman" w:hint="eastAsia"/>
          <w:kern w:val="2"/>
        </w:rPr>
        <w:t>年</w:t>
      </w:r>
      <w:r w:rsidR="00A71115">
        <w:rPr>
          <w:rFonts w:ascii="仿宋_GB2312" w:eastAsia="仿宋_GB2312" w:hAnsi="宋体" w:cs="Times New Roman" w:hint="eastAsia"/>
          <w:kern w:val="2"/>
        </w:rPr>
        <w:t>四</w:t>
      </w:r>
      <w:r w:rsidRPr="0041514C">
        <w:rPr>
          <w:rFonts w:ascii="仿宋_GB2312" w:eastAsia="仿宋_GB2312" w:hAnsi="宋体" w:cs="Times New Roman" w:hint="eastAsia"/>
          <w:kern w:val="2"/>
        </w:rPr>
        <w:t>月</w:t>
      </w:r>
      <w:r w:rsidR="00BE3C51">
        <w:rPr>
          <w:rFonts w:ascii="仿宋_GB2312" w:eastAsia="仿宋_GB2312" w:hAnsi="宋体" w:cs="Times New Roman" w:hint="eastAsia"/>
          <w:kern w:val="2"/>
        </w:rPr>
        <w:t>十</w:t>
      </w:r>
      <w:r w:rsidR="00A71115">
        <w:rPr>
          <w:rFonts w:ascii="仿宋_GB2312" w:eastAsia="仿宋_GB2312" w:hAnsi="宋体" w:cs="Times New Roman" w:hint="eastAsia"/>
          <w:kern w:val="2"/>
        </w:rPr>
        <w:t>九</w:t>
      </w:r>
      <w:r w:rsidRPr="0041514C">
        <w:rPr>
          <w:rFonts w:ascii="仿宋_GB2312" w:eastAsia="仿宋_GB2312" w:hAnsi="宋体" w:cs="Times New Roman" w:hint="eastAsia"/>
          <w:kern w:val="2"/>
        </w:rPr>
        <w:t>日</w:t>
      </w:r>
    </w:p>
    <w:sectPr w:rsidR="00090A8C" w:rsidRPr="0041514C" w:rsidSect="00DD3E7C">
      <w:footerReference w:type="default" r:id="rId8"/>
      <w:pgSz w:w="11910" w:h="16840"/>
      <w:pgMar w:top="1480" w:right="1580" w:bottom="1160" w:left="1680" w:header="0" w:footer="979" w:gutter="0"/>
      <w:cols w:space="720" w:equalWidth="0">
        <w:col w:w="86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93" w:rsidRDefault="00CC3F93">
      <w:r>
        <w:separator/>
      </w:r>
    </w:p>
  </w:endnote>
  <w:endnote w:type="continuationSeparator" w:id="0">
    <w:p w:rsidR="00CC3F93" w:rsidRDefault="00CC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8C" w:rsidRDefault="00DD3E7C">
    <w:pPr>
      <w:pStyle w:val="a3"/>
      <w:kinsoku w:val="0"/>
      <w:overflowPunct w:val="0"/>
      <w:spacing w:line="14" w:lineRule="auto"/>
      <w:ind w:left="0" w:firstLine="0"/>
      <w:rPr>
        <w:rFonts w:ascii="Times New Roman" w:eastAsiaTheme="minorEastAsia" w:cs="Times New Roman"/>
        <w:sz w:val="20"/>
        <w:szCs w:val="20"/>
      </w:rPr>
    </w:pPr>
    <w:r w:rsidRPr="00DD3E7C">
      <w:rPr>
        <w:noProof/>
      </w:rPr>
      <w:pict>
        <v:shapetype id="_x0000_t202" coordsize="21600,21600" o:spt="202" path="m,l,21600r21600,l21600,xe">
          <v:stroke joinstyle="miter"/>
          <v:path gradientshapeok="t" o:connecttype="rect"/>
        </v:shapetype>
        <v:shape id="Text Box 1" o:spid="_x0000_s4097" type="#_x0000_t202" style="position:absolute;margin-left:293.35pt;margin-top:781.95pt;width: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XTqw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" o:allowincell="f" filled="f" stroked="f">
          <v:textbox inset="0,0,0,0">
            <w:txbxContent>
              <w:p w:rsidR="00090A8C" w:rsidRDefault="00DD3E7C">
                <w:pPr>
                  <w:pStyle w:val="a3"/>
                  <w:kinsoku w:val="0"/>
                  <w:overflowPunct w:val="0"/>
                  <w:spacing w:line="204" w:lineRule="exact"/>
                  <w:ind w:left="40" w:firstLine="0"/>
                  <w:rPr>
                    <w:rFonts w:ascii="Times New Roman" w:eastAsiaTheme="minorEastAsia" w:cs="Times New Roman"/>
                    <w:sz w:val="18"/>
                    <w:szCs w:val="18"/>
                  </w:rPr>
                </w:pPr>
                <w:r>
                  <w:rPr>
                    <w:rFonts w:ascii="Times New Roman" w:eastAsiaTheme="minorEastAsia" w:cs="Times New Roman"/>
                    <w:sz w:val="18"/>
                    <w:szCs w:val="18"/>
                  </w:rPr>
                  <w:fldChar w:fldCharType="begin"/>
                </w:r>
                <w:r w:rsidR="00090A8C">
                  <w:rPr>
                    <w:rFonts w:ascii="Times New Roman" w:eastAsiaTheme="minorEastAsia" w:cs="Times New Roman"/>
                    <w:sz w:val="18"/>
                    <w:szCs w:val="18"/>
                  </w:rPr>
                  <w:instrText xml:space="preserve"> PAGE </w:instrText>
                </w:r>
                <w:r>
                  <w:rPr>
                    <w:rFonts w:ascii="Times New Roman" w:eastAsiaTheme="minorEastAsia" w:cs="Times New Roman"/>
                    <w:sz w:val="18"/>
                    <w:szCs w:val="18"/>
                  </w:rPr>
                  <w:fldChar w:fldCharType="separate"/>
                </w:r>
                <w:r w:rsidR="001F0450">
                  <w:rPr>
                    <w:rFonts w:ascii="Times New Roman" w:eastAsiaTheme="minorEastAsia" w:cs="Times New Roman"/>
                    <w:noProof/>
                    <w:sz w:val="18"/>
                    <w:szCs w:val="18"/>
                  </w:rPr>
                  <w:t>1</w:t>
                </w:r>
                <w:r>
                  <w:rPr>
                    <w:rFonts w:ascii="Times New Roman" w:eastAsiaTheme="minorEastAsia" w:cs="Times New Roman"/>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93" w:rsidRDefault="00CC3F93">
      <w:r>
        <w:separator/>
      </w:r>
    </w:p>
  </w:footnote>
  <w:footnote w:type="continuationSeparator" w:id="0">
    <w:p w:rsidR="00CC3F93" w:rsidRDefault="00CC3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C56A9"/>
    <w:multiLevelType w:val="hybridMultilevel"/>
    <w:tmpl w:val="B54CB168"/>
    <w:lvl w:ilvl="0" w:tplc="02FCD458">
      <w:start w:val="1"/>
      <w:numFmt w:val="japaneseCounting"/>
      <w:lvlText w:val="%1、"/>
      <w:lvlJc w:val="left"/>
      <w:pPr>
        <w:ind w:left="1180" w:hanging="48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062FCC"/>
    <w:rsid w:val="00006AFE"/>
    <w:rsid w:val="00051032"/>
    <w:rsid w:val="000610D0"/>
    <w:rsid w:val="00062FCC"/>
    <w:rsid w:val="00090A8C"/>
    <w:rsid w:val="000A56F4"/>
    <w:rsid w:val="000B3F3F"/>
    <w:rsid w:val="000B40B3"/>
    <w:rsid w:val="000C501C"/>
    <w:rsid w:val="000E16AF"/>
    <w:rsid w:val="000E2242"/>
    <w:rsid w:val="000E28C6"/>
    <w:rsid w:val="000E5E29"/>
    <w:rsid w:val="000F3B41"/>
    <w:rsid w:val="000F5BD6"/>
    <w:rsid w:val="00102951"/>
    <w:rsid w:val="001376CC"/>
    <w:rsid w:val="00146FD4"/>
    <w:rsid w:val="00150116"/>
    <w:rsid w:val="00150AC9"/>
    <w:rsid w:val="00170A57"/>
    <w:rsid w:val="001765B8"/>
    <w:rsid w:val="00180829"/>
    <w:rsid w:val="0018329A"/>
    <w:rsid w:val="001A7FEF"/>
    <w:rsid w:val="001F0450"/>
    <w:rsid w:val="002016FD"/>
    <w:rsid w:val="00203A7D"/>
    <w:rsid w:val="00207A1A"/>
    <w:rsid w:val="002211E6"/>
    <w:rsid w:val="0022355F"/>
    <w:rsid w:val="0022733E"/>
    <w:rsid w:val="00233352"/>
    <w:rsid w:val="002354AB"/>
    <w:rsid w:val="00275C69"/>
    <w:rsid w:val="00295010"/>
    <w:rsid w:val="002A36FB"/>
    <w:rsid w:val="002B2098"/>
    <w:rsid w:val="002C06EB"/>
    <w:rsid w:val="002D2415"/>
    <w:rsid w:val="002F2BE7"/>
    <w:rsid w:val="0031378C"/>
    <w:rsid w:val="00325E59"/>
    <w:rsid w:val="00345DE5"/>
    <w:rsid w:val="00355459"/>
    <w:rsid w:val="00361018"/>
    <w:rsid w:val="0039367C"/>
    <w:rsid w:val="003D2AD3"/>
    <w:rsid w:val="003D6776"/>
    <w:rsid w:val="003E5F8E"/>
    <w:rsid w:val="003F3FFC"/>
    <w:rsid w:val="003F6D69"/>
    <w:rsid w:val="004014E5"/>
    <w:rsid w:val="0041514C"/>
    <w:rsid w:val="00456998"/>
    <w:rsid w:val="00465066"/>
    <w:rsid w:val="00490F0B"/>
    <w:rsid w:val="004A58CF"/>
    <w:rsid w:val="004B18FB"/>
    <w:rsid w:val="004C5C46"/>
    <w:rsid w:val="004E6CD9"/>
    <w:rsid w:val="00507A1F"/>
    <w:rsid w:val="00510875"/>
    <w:rsid w:val="00523433"/>
    <w:rsid w:val="00543835"/>
    <w:rsid w:val="00547339"/>
    <w:rsid w:val="00561ECE"/>
    <w:rsid w:val="00575409"/>
    <w:rsid w:val="0059310B"/>
    <w:rsid w:val="00595888"/>
    <w:rsid w:val="0059720A"/>
    <w:rsid w:val="005A29BA"/>
    <w:rsid w:val="005B35CD"/>
    <w:rsid w:val="005D43B3"/>
    <w:rsid w:val="00604486"/>
    <w:rsid w:val="00610E94"/>
    <w:rsid w:val="0063204A"/>
    <w:rsid w:val="00683F2C"/>
    <w:rsid w:val="006938EA"/>
    <w:rsid w:val="006A0BDB"/>
    <w:rsid w:val="006A31DA"/>
    <w:rsid w:val="006A563E"/>
    <w:rsid w:val="006C05BF"/>
    <w:rsid w:val="006C216D"/>
    <w:rsid w:val="006D0C55"/>
    <w:rsid w:val="006E2E57"/>
    <w:rsid w:val="006F2F13"/>
    <w:rsid w:val="0072416B"/>
    <w:rsid w:val="00733180"/>
    <w:rsid w:val="00742419"/>
    <w:rsid w:val="00755B90"/>
    <w:rsid w:val="007A395B"/>
    <w:rsid w:val="007A3A11"/>
    <w:rsid w:val="007C62EC"/>
    <w:rsid w:val="007D76BE"/>
    <w:rsid w:val="0081206B"/>
    <w:rsid w:val="00814545"/>
    <w:rsid w:val="00825E31"/>
    <w:rsid w:val="00836F19"/>
    <w:rsid w:val="008460BC"/>
    <w:rsid w:val="0085773B"/>
    <w:rsid w:val="00866EB9"/>
    <w:rsid w:val="0087152A"/>
    <w:rsid w:val="008A5440"/>
    <w:rsid w:val="008B0545"/>
    <w:rsid w:val="008B36FA"/>
    <w:rsid w:val="008D103C"/>
    <w:rsid w:val="008E4A5C"/>
    <w:rsid w:val="008F078D"/>
    <w:rsid w:val="008F3C6A"/>
    <w:rsid w:val="009042E2"/>
    <w:rsid w:val="00922D72"/>
    <w:rsid w:val="009453D1"/>
    <w:rsid w:val="0095140A"/>
    <w:rsid w:val="00970421"/>
    <w:rsid w:val="0097268C"/>
    <w:rsid w:val="009B28EF"/>
    <w:rsid w:val="009B76CA"/>
    <w:rsid w:val="009C790C"/>
    <w:rsid w:val="009F3188"/>
    <w:rsid w:val="00A046D6"/>
    <w:rsid w:val="00A078AC"/>
    <w:rsid w:val="00A10194"/>
    <w:rsid w:val="00A27862"/>
    <w:rsid w:val="00A50B06"/>
    <w:rsid w:val="00A71115"/>
    <w:rsid w:val="00A72785"/>
    <w:rsid w:val="00A93765"/>
    <w:rsid w:val="00B002DE"/>
    <w:rsid w:val="00B06604"/>
    <w:rsid w:val="00B103EE"/>
    <w:rsid w:val="00B22116"/>
    <w:rsid w:val="00B44A15"/>
    <w:rsid w:val="00B54B1E"/>
    <w:rsid w:val="00B709D6"/>
    <w:rsid w:val="00B94590"/>
    <w:rsid w:val="00B97372"/>
    <w:rsid w:val="00BB6E49"/>
    <w:rsid w:val="00BE3C51"/>
    <w:rsid w:val="00BE3EFF"/>
    <w:rsid w:val="00C15CF7"/>
    <w:rsid w:val="00C30C0A"/>
    <w:rsid w:val="00C46C1B"/>
    <w:rsid w:val="00C613CC"/>
    <w:rsid w:val="00CA4C86"/>
    <w:rsid w:val="00CC3F93"/>
    <w:rsid w:val="00CC4FF5"/>
    <w:rsid w:val="00CC7F91"/>
    <w:rsid w:val="00CF3928"/>
    <w:rsid w:val="00D0499E"/>
    <w:rsid w:val="00D06C1A"/>
    <w:rsid w:val="00D14CF4"/>
    <w:rsid w:val="00D22441"/>
    <w:rsid w:val="00D24AD5"/>
    <w:rsid w:val="00D33838"/>
    <w:rsid w:val="00D403F1"/>
    <w:rsid w:val="00D41C41"/>
    <w:rsid w:val="00D45397"/>
    <w:rsid w:val="00D72D1D"/>
    <w:rsid w:val="00D7359F"/>
    <w:rsid w:val="00D77CC9"/>
    <w:rsid w:val="00D84568"/>
    <w:rsid w:val="00D978BC"/>
    <w:rsid w:val="00DA32F5"/>
    <w:rsid w:val="00DA6319"/>
    <w:rsid w:val="00DC290D"/>
    <w:rsid w:val="00DD3E7C"/>
    <w:rsid w:val="00DE426F"/>
    <w:rsid w:val="00DE64A0"/>
    <w:rsid w:val="00DF4AB5"/>
    <w:rsid w:val="00E1335A"/>
    <w:rsid w:val="00E13D95"/>
    <w:rsid w:val="00E23109"/>
    <w:rsid w:val="00E27133"/>
    <w:rsid w:val="00E61E82"/>
    <w:rsid w:val="00E778C2"/>
    <w:rsid w:val="00EA701C"/>
    <w:rsid w:val="00EC31BC"/>
    <w:rsid w:val="00EE4A36"/>
    <w:rsid w:val="00EE4B36"/>
    <w:rsid w:val="00EF30A2"/>
    <w:rsid w:val="00F00807"/>
    <w:rsid w:val="00F1747F"/>
    <w:rsid w:val="00F4376D"/>
    <w:rsid w:val="00F452AF"/>
    <w:rsid w:val="00F778F8"/>
    <w:rsid w:val="00F87B47"/>
    <w:rsid w:val="00FA08DF"/>
    <w:rsid w:val="00FA448A"/>
    <w:rsid w:val="00FB7925"/>
    <w:rsid w:val="00FC413F"/>
    <w:rsid w:val="00FE194E"/>
    <w:rsid w:val="00FF2419"/>
    <w:rsid w:val="00FF35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3E7C"/>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Char"/>
    <w:uiPriority w:val="1"/>
    <w:qFormat/>
    <w:rsid w:val="00DD3E7C"/>
    <w:pPr>
      <w:spacing w:before="1"/>
      <w:ind w:left="700"/>
      <w:outlineLvl w:val="0"/>
    </w:pPr>
    <w:rPr>
      <w:rFonts w:ascii="宋体" w:eastAsia="宋体" w:cs="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DD3E7C"/>
    <w:rPr>
      <w:rFonts w:ascii="Times New Roman" w:hAnsi="Times New Roman" w:cs="Times New Roman"/>
      <w:b/>
      <w:bCs/>
      <w:kern w:val="44"/>
      <w:sz w:val="44"/>
      <w:szCs w:val="44"/>
    </w:rPr>
  </w:style>
  <w:style w:type="paragraph" w:styleId="a3">
    <w:name w:val="Body Text"/>
    <w:basedOn w:val="a"/>
    <w:link w:val="Char"/>
    <w:uiPriority w:val="1"/>
    <w:qFormat/>
    <w:rsid w:val="00DD3E7C"/>
    <w:pPr>
      <w:ind w:left="120" w:firstLine="479"/>
    </w:pPr>
    <w:rPr>
      <w:rFonts w:ascii="宋体" w:eastAsia="宋体" w:cs="宋体"/>
    </w:rPr>
  </w:style>
  <w:style w:type="character" w:customStyle="1" w:styleId="Char">
    <w:name w:val="正文文本 Char"/>
    <w:basedOn w:val="a0"/>
    <w:link w:val="a3"/>
    <w:uiPriority w:val="1"/>
    <w:locked/>
    <w:rsid w:val="00DD3E7C"/>
    <w:rPr>
      <w:rFonts w:ascii="Times New Roman" w:hAnsi="Times New Roman" w:cs="Times New Roman"/>
      <w:kern w:val="0"/>
      <w:sz w:val="24"/>
      <w:szCs w:val="24"/>
    </w:rPr>
  </w:style>
  <w:style w:type="paragraph" w:styleId="a4">
    <w:name w:val="List Paragraph"/>
    <w:basedOn w:val="a"/>
    <w:uiPriority w:val="1"/>
    <w:qFormat/>
    <w:rsid w:val="00DD3E7C"/>
  </w:style>
  <w:style w:type="paragraph" w:customStyle="1" w:styleId="TableParagraph">
    <w:name w:val="Table Paragraph"/>
    <w:basedOn w:val="a"/>
    <w:uiPriority w:val="1"/>
    <w:qFormat/>
    <w:rsid w:val="00DD3E7C"/>
  </w:style>
  <w:style w:type="paragraph" w:styleId="a5">
    <w:name w:val="Revision"/>
    <w:hidden/>
    <w:uiPriority w:val="99"/>
    <w:semiHidden/>
    <w:rsid w:val="00170A57"/>
    <w:rPr>
      <w:rFonts w:ascii="Times New Roman" w:hAnsi="Times New Roman"/>
      <w:kern w:val="0"/>
      <w:sz w:val="24"/>
      <w:szCs w:val="24"/>
    </w:rPr>
  </w:style>
  <w:style w:type="paragraph" w:customStyle="1" w:styleId="Default">
    <w:name w:val="Default"/>
    <w:rsid w:val="004014E5"/>
    <w:pPr>
      <w:widowControl w:val="0"/>
      <w:autoSpaceDE w:val="0"/>
      <w:autoSpaceDN w:val="0"/>
      <w:adjustRightInd w:val="0"/>
    </w:pPr>
    <w:rPr>
      <w:rFonts w:ascii="宋体" w:eastAsia="宋体" w:cs="宋体"/>
      <w:color w:val="000000"/>
      <w:kern w:val="0"/>
      <w:sz w:val="24"/>
      <w:szCs w:val="24"/>
    </w:rPr>
  </w:style>
  <w:style w:type="paragraph" w:styleId="a6">
    <w:name w:val="header"/>
    <w:basedOn w:val="a"/>
    <w:link w:val="Char0"/>
    <w:uiPriority w:val="99"/>
    <w:unhideWhenUsed/>
    <w:rsid w:val="000E5E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0E5E29"/>
    <w:rPr>
      <w:rFonts w:ascii="Times New Roman" w:hAnsi="Times New Roman" w:cs="Times New Roman"/>
      <w:kern w:val="0"/>
      <w:sz w:val="18"/>
      <w:szCs w:val="18"/>
    </w:rPr>
  </w:style>
  <w:style w:type="paragraph" w:styleId="a7">
    <w:name w:val="footer"/>
    <w:basedOn w:val="a"/>
    <w:link w:val="Char1"/>
    <w:uiPriority w:val="99"/>
    <w:unhideWhenUsed/>
    <w:rsid w:val="000E5E29"/>
    <w:pPr>
      <w:tabs>
        <w:tab w:val="center" w:pos="4153"/>
        <w:tab w:val="right" w:pos="8306"/>
      </w:tabs>
      <w:snapToGrid w:val="0"/>
    </w:pPr>
    <w:rPr>
      <w:sz w:val="18"/>
      <w:szCs w:val="18"/>
    </w:rPr>
  </w:style>
  <w:style w:type="character" w:customStyle="1" w:styleId="Char1">
    <w:name w:val="页脚 Char"/>
    <w:basedOn w:val="a0"/>
    <w:link w:val="a7"/>
    <w:uiPriority w:val="99"/>
    <w:locked/>
    <w:rsid w:val="000E5E29"/>
    <w:rPr>
      <w:rFonts w:ascii="Times New Roman" w:hAnsi="Times New Roman" w:cs="Times New Roman"/>
      <w:kern w:val="0"/>
      <w:sz w:val="18"/>
      <w:szCs w:val="18"/>
    </w:rPr>
  </w:style>
  <w:style w:type="character" w:styleId="a8">
    <w:name w:val="annotation reference"/>
    <w:basedOn w:val="a0"/>
    <w:uiPriority w:val="99"/>
    <w:semiHidden/>
    <w:unhideWhenUsed/>
    <w:rsid w:val="0022355F"/>
    <w:rPr>
      <w:sz w:val="21"/>
      <w:szCs w:val="21"/>
    </w:rPr>
  </w:style>
  <w:style w:type="paragraph" w:styleId="a9">
    <w:name w:val="annotation text"/>
    <w:basedOn w:val="a"/>
    <w:link w:val="Char2"/>
    <w:uiPriority w:val="99"/>
    <w:semiHidden/>
    <w:unhideWhenUsed/>
    <w:rsid w:val="0022355F"/>
  </w:style>
  <w:style w:type="character" w:customStyle="1" w:styleId="Char2">
    <w:name w:val="批注文字 Char"/>
    <w:basedOn w:val="a0"/>
    <w:link w:val="a9"/>
    <w:uiPriority w:val="99"/>
    <w:semiHidden/>
    <w:rsid w:val="0022355F"/>
    <w:rPr>
      <w:rFonts w:ascii="Times New Roman" w:hAnsi="Times New Roman"/>
      <w:kern w:val="0"/>
      <w:sz w:val="24"/>
      <w:szCs w:val="24"/>
    </w:rPr>
  </w:style>
  <w:style w:type="paragraph" w:styleId="aa">
    <w:name w:val="annotation subject"/>
    <w:basedOn w:val="a9"/>
    <w:next w:val="a9"/>
    <w:link w:val="Char3"/>
    <w:uiPriority w:val="99"/>
    <w:semiHidden/>
    <w:unhideWhenUsed/>
    <w:rsid w:val="0022355F"/>
    <w:rPr>
      <w:b/>
      <w:bCs/>
    </w:rPr>
  </w:style>
  <w:style w:type="character" w:customStyle="1" w:styleId="Char3">
    <w:name w:val="批注主题 Char"/>
    <w:basedOn w:val="Char2"/>
    <w:link w:val="aa"/>
    <w:uiPriority w:val="99"/>
    <w:semiHidden/>
    <w:rsid w:val="0022355F"/>
    <w:rPr>
      <w:rFonts w:ascii="Times New Roman" w:hAnsi="Times New Roman"/>
      <w:b/>
      <w:bCs/>
      <w:kern w:val="0"/>
      <w:sz w:val="24"/>
      <w:szCs w:val="24"/>
    </w:rPr>
  </w:style>
  <w:style w:type="paragraph" w:styleId="ab">
    <w:name w:val="Balloon Text"/>
    <w:basedOn w:val="a"/>
    <w:link w:val="Char4"/>
    <w:uiPriority w:val="99"/>
    <w:semiHidden/>
    <w:unhideWhenUsed/>
    <w:rsid w:val="0022355F"/>
    <w:rPr>
      <w:sz w:val="18"/>
      <w:szCs w:val="18"/>
    </w:rPr>
  </w:style>
  <w:style w:type="character" w:customStyle="1" w:styleId="Char4">
    <w:name w:val="批注框文本 Char"/>
    <w:basedOn w:val="a0"/>
    <w:link w:val="ab"/>
    <w:uiPriority w:val="99"/>
    <w:semiHidden/>
    <w:rsid w:val="0022355F"/>
    <w:rPr>
      <w:rFonts w:ascii="Times New Roman" w:hAnsi="Times New Roman"/>
      <w:kern w:val="0"/>
      <w:sz w:val="18"/>
      <w:szCs w:val="18"/>
    </w:rPr>
  </w:style>
  <w:style w:type="character" w:styleId="ac">
    <w:name w:val="Hyperlink"/>
    <w:basedOn w:val="a0"/>
    <w:uiPriority w:val="99"/>
    <w:semiHidden/>
    <w:unhideWhenUsed/>
    <w:rsid w:val="00604486"/>
    <w:rPr>
      <w:color w:val="0000FF"/>
      <w:u w:val="single"/>
    </w:rPr>
  </w:style>
  <w:style w:type="table" w:styleId="ad">
    <w:name w:val="Table Grid"/>
    <w:basedOn w:val="a1"/>
    <w:uiPriority w:val="39"/>
    <w:rsid w:val="0052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9415-F6E3-44DD-9C7B-58141446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4</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xiongt</dc:creator>
  <cp:keywords/>
  <dc:description/>
  <cp:lastModifiedBy>ZHONGM</cp:lastModifiedBy>
  <cp:revision>2</cp:revision>
  <dcterms:created xsi:type="dcterms:W3CDTF">2024-04-18T16:04:00Z</dcterms:created>
  <dcterms:modified xsi:type="dcterms:W3CDTF">2024-04-18T16:04:00Z</dcterms:modified>
</cp:coreProperties>
</file>