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E4" w:rsidRDefault="005F4972">
      <w:pPr>
        <w:widowControl/>
        <w:shd w:val="clear" w:color="auto" w:fill="FFFFFF"/>
        <w:ind w:firstLineChars="700" w:firstLine="2240"/>
        <w:rPr>
          <w:rFonts w:ascii="Arial" w:eastAsia="微软雅黑" w:hAnsi="Arial" w:cs="Arial"/>
          <w:color w:val="000000"/>
          <w:kern w:val="0"/>
          <w:sz w:val="32"/>
          <w:szCs w:val="32"/>
        </w:rPr>
      </w:pPr>
      <w:bookmarkStart w:id="0" w:name="_GoBack"/>
      <w:bookmarkEnd w:id="0"/>
      <w:r>
        <w:rPr>
          <w:rFonts w:ascii="Arial" w:eastAsia="微软雅黑" w:hAnsi="Arial" w:cs="Arial" w:hint="eastAsia"/>
          <w:color w:val="000000"/>
          <w:kern w:val="0"/>
          <w:sz w:val="32"/>
          <w:szCs w:val="32"/>
        </w:rPr>
        <w:t>申万菱信</w:t>
      </w:r>
      <w:r>
        <w:rPr>
          <w:rFonts w:ascii="Arial" w:eastAsia="微软雅黑" w:hAnsi="Arial" w:cs="Arial"/>
          <w:color w:val="000000"/>
          <w:kern w:val="0"/>
          <w:sz w:val="32"/>
          <w:szCs w:val="32"/>
        </w:rPr>
        <w:t>基金管理有限公司</w:t>
      </w:r>
    </w:p>
    <w:p w:rsidR="00B562E4" w:rsidRDefault="005F4972">
      <w:pPr>
        <w:widowControl/>
        <w:shd w:val="clear" w:color="auto" w:fill="FFFFFF"/>
        <w:jc w:val="center"/>
        <w:rPr>
          <w:rFonts w:ascii="Arial" w:eastAsia="微软雅黑" w:hAnsi="Arial" w:cs="Arial"/>
          <w:color w:val="000000"/>
          <w:kern w:val="0"/>
          <w:sz w:val="32"/>
          <w:szCs w:val="32"/>
        </w:rPr>
      </w:pPr>
      <w:r>
        <w:rPr>
          <w:rFonts w:ascii="Arial" w:eastAsia="微软雅黑" w:hAnsi="Arial" w:cs="Arial"/>
          <w:color w:val="000000"/>
          <w:kern w:val="0"/>
          <w:sz w:val="32"/>
          <w:szCs w:val="32"/>
        </w:rPr>
        <w:t>关于</w:t>
      </w:r>
      <w:r>
        <w:rPr>
          <w:rFonts w:ascii="Arial" w:eastAsia="微软雅黑" w:hAnsi="Arial" w:cs="Arial" w:hint="eastAsia"/>
          <w:color w:val="000000"/>
          <w:kern w:val="0"/>
          <w:sz w:val="32"/>
          <w:szCs w:val="32"/>
        </w:rPr>
        <w:t>申万菱信量化小盘股票型证券投资基金</w:t>
      </w:r>
      <w:r>
        <w:rPr>
          <w:rFonts w:ascii="Arial" w:eastAsia="微软雅黑" w:hAnsi="Arial" w:cs="Arial"/>
          <w:color w:val="000000"/>
          <w:kern w:val="0"/>
          <w:sz w:val="32"/>
          <w:szCs w:val="32"/>
        </w:rPr>
        <w:t>(LOF)</w:t>
      </w:r>
      <w:r>
        <w:rPr>
          <w:rFonts w:ascii="Arial" w:eastAsia="微软雅黑" w:hAnsi="Arial" w:cs="Arial"/>
          <w:color w:val="000000"/>
          <w:kern w:val="0"/>
          <w:sz w:val="32"/>
          <w:szCs w:val="32"/>
        </w:rPr>
        <w:t>二级市场交易价格溢价</w:t>
      </w:r>
      <w:r>
        <w:rPr>
          <w:rFonts w:ascii="Arial" w:eastAsia="微软雅黑" w:hAnsi="Arial" w:cs="Arial" w:hint="eastAsia"/>
          <w:color w:val="000000"/>
          <w:kern w:val="0"/>
          <w:sz w:val="32"/>
          <w:szCs w:val="32"/>
        </w:rPr>
        <w:t>的</w:t>
      </w:r>
      <w:r>
        <w:rPr>
          <w:rFonts w:ascii="Arial" w:eastAsia="微软雅黑" w:hAnsi="Arial" w:cs="Arial"/>
          <w:color w:val="000000"/>
          <w:kern w:val="0"/>
          <w:sz w:val="32"/>
          <w:szCs w:val="32"/>
        </w:rPr>
        <w:t>风险提示公告</w:t>
      </w:r>
    </w:p>
    <w:p w:rsidR="00B562E4" w:rsidRDefault="00B562E4">
      <w:pPr>
        <w:widowControl/>
        <w:shd w:val="clear" w:color="auto" w:fill="FFFFFF"/>
        <w:ind w:firstLineChars="200" w:firstLine="640"/>
        <w:jc w:val="left"/>
        <w:rPr>
          <w:rFonts w:ascii="Arial" w:eastAsia="微软雅黑" w:hAnsi="Arial" w:cs="Arial"/>
          <w:color w:val="000000"/>
          <w:kern w:val="0"/>
          <w:sz w:val="32"/>
          <w:szCs w:val="32"/>
        </w:rPr>
      </w:pPr>
    </w:p>
    <w:p w:rsidR="00B562E4" w:rsidRDefault="005F4972">
      <w:pPr>
        <w:widowControl/>
        <w:shd w:val="clear" w:color="auto" w:fill="FFFFFF"/>
        <w:ind w:firstLineChars="200" w:firstLine="560"/>
        <w:jc w:val="left"/>
        <w:rPr>
          <w:rFonts w:ascii="华文仿宋" w:eastAsia="华文仿宋" w:hAnsi="华文仿宋" w:cs="Arial"/>
          <w:b/>
          <w:color w:val="000000"/>
          <w:kern w:val="0"/>
          <w:sz w:val="28"/>
          <w:szCs w:val="28"/>
        </w:rPr>
      </w:pPr>
      <w:r>
        <w:rPr>
          <w:rFonts w:ascii="华文仿宋" w:eastAsia="华文仿宋" w:hAnsi="华文仿宋" w:cs="Arial"/>
          <w:color w:val="000000"/>
          <w:kern w:val="0"/>
          <w:sz w:val="28"/>
          <w:szCs w:val="28"/>
        </w:rPr>
        <w:t>近期</w:t>
      </w:r>
      <w:r>
        <w:rPr>
          <w:rFonts w:ascii="华文仿宋" w:eastAsia="华文仿宋" w:hAnsi="华文仿宋" w:cs="Arial" w:hint="eastAsia"/>
          <w:color w:val="000000"/>
          <w:kern w:val="0"/>
          <w:sz w:val="28"/>
          <w:szCs w:val="28"/>
        </w:rPr>
        <w:t>，申万菱信基金管理</w:t>
      </w:r>
      <w:r>
        <w:rPr>
          <w:rFonts w:ascii="华文仿宋" w:eastAsia="华文仿宋" w:hAnsi="华文仿宋" w:cs="Arial"/>
          <w:color w:val="000000"/>
          <w:kern w:val="0"/>
          <w:sz w:val="28"/>
          <w:szCs w:val="28"/>
        </w:rPr>
        <w:t>有限公司（以下简称“本基金管理人”）旗下</w:t>
      </w:r>
      <w:r>
        <w:rPr>
          <w:rFonts w:ascii="华文仿宋" w:eastAsia="华文仿宋" w:hAnsi="华文仿宋" w:cs="Arial" w:hint="eastAsia"/>
          <w:color w:val="000000"/>
          <w:kern w:val="0"/>
          <w:sz w:val="28"/>
          <w:szCs w:val="28"/>
        </w:rPr>
        <w:t>申万菱信量化小盘股票型证券投资基金</w:t>
      </w:r>
      <w:r>
        <w:rPr>
          <w:rFonts w:ascii="华文仿宋" w:eastAsia="华文仿宋" w:hAnsi="华文仿宋" w:cs="Arial"/>
          <w:color w:val="000000"/>
          <w:kern w:val="0"/>
          <w:sz w:val="28"/>
          <w:szCs w:val="28"/>
        </w:rPr>
        <w:t>(LOF)A</w:t>
      </w:r>
      <w:r>
        <w:rPr>
          <w:rFonts w:ascii="华文仿宋" w:eastAsia="华文仿宋" w:hAnsi="华文仿宋" w:cs="Arial" w:hint="eastAsia"/>
          <w:color w:val="000000"/>
          <w:kern w:val="0"/>
          <w:sz w:val="28"/>
          <w:szCs w:val="28"/>
        </w:rPr>
        <w:t>类份额</w:t>
      </w:r>
      <w:r>
        <w:rPr>
          <w:rFonts w:ascii="华文仿宋" w:eastAsia="华文仿宋" w:hAnsi="华文仿宋" w:cs="Arial"/>
          <w:color w:val="000000"/>
          <w:kern w:val="0"/>
          <w:sz w:val="28"/>
          <w:szCs w:val="28"/>
        </w:rPr>
        <w:t>（基金代码：163110，场内简称：</w:t>
      </w:r>
      <w:r>
        <w:rPr>
          <w:rFonts w:ascii="华文仿宋" w:eastAsia="华文仿宋" w:hAnsi="华文仿宋" w:cs="Arial" w:hint="eastAsia"/>
          <w:color w:val="000000"/>
          <w:kern w:val="0"/>
          <w:sz w:val="28"/>
          <w:szCs w:val="28"/>
        </w:rPr>
        <w:t>申万量化</w:t>
      </w:r>
      <w:r>
        <w:rPr>
          <w:rFonts w:ascii="华文仿宋" w:eastAsia="华文仿宋" w:hAnsi="华文仿宋" w:cs="Arial"/>
          <w:color w:val="000000"/>
          <w:kern w:val="0"/>
          <w:sz w:val="28"/>
          <w:szCs w:val="28"/>
        </w:rPr>
        <w:t>LOF，以下简称“本基金”）二级市场交易价格波动较大，请投资者密切关注基金份额净值。2024年</w:t>
      </w:r>
      <w:r w:rsidR="002D74FE">
        <w:rPr>
          <w:rFonts w:ascii="华文仿宋" w:eastAsia="华文仿宋" w:hAnsi="华文仿宋" w:cs="Arial"/>
          <w:color w:val="000000"/>
          <w:kern w:val="0"/>
          <w:sz w:val="28"/>
          <w:szCs w:val="28"/>
        </w:rPr>
        <w:t>4</w:t>
      </w:r>
      <w:r>
        <w:rPr>
          <w:rFonts w:ascii="华文仿宋" w:eastAsia="华文仿宋" w:hAnsi="华文仿宋" w:cs="Arial"/>
          <w:color w:val="000000"/>
          <w:kern w:val="0"/>
          <w:sz w:val="28"/>
          <w:szCs w:val="28"/>
        </w:rPr>
        <w:t>月</w:t>
      </w:r>
      <w:r w:rsidR="002D74FE">
        <w:rPr>
          <w:rFonts w:ascii="华文仿宋" w:eastAsia="华文仿宋" w:hAnsi="华文仿宋" w:cs="Arial"/>
          <w:color w:val="000000"/>
          <w:kern w:val="0"/>
          <w:sz w:val="28"/>
          <w:szCs w:val="28"/>
        </w:rPr>
        <w:t>16</w:t>
      </w:r>
      <w:r>
        <w:rPr>
          <w:rFonts w:ascii="华文仿宋" w:eastAsia="华文仿宋" w:hAnsi="华文仿宋" w:cs="Arial"/>
          <w:color w:val="000000"/>
          <w:kern w:val="0"/>
          <w:sz w:val="28"/>
          <w:szCs w:val="28"/>
        </w:rPr>
        <w:t>日，本基金基金份额净值为1.5</w:t>
      </w:r>
      <w:r w:rsidR="002D74FE">
        <w:rPr>
          <w:rFonts w:ascii="华文仿宋" w:eastAsia="华文仿宋" w:hAnsi="华文仿宋" w:cs="Arial"/>
          <w:color w:val="000000"/>
          <w:kern w:val="0"/>
          <w:sz w:val="28"/>
          <w:szCs w:val="28"/>
        </w:rPr>
        <w:t>772</w:t>
      </w:r>
      <w:r>
        <w:rPr>
          <w:rFonts w:ascii="华文仿宋" w:eastAsia="华文仿宋" w:hAnsi="华文仿宋" w:cs="Arial"/>
          <w:color w:val="000000"/>
          <w:kern w:val="0"/>
          <w:sz w:val="28"/>
          <w:szCs w:val="28"/>
        </w:rPr>
        <w:t>元，截至2024年</w:t>
      </w:r>
      <w:r w:rsidR="002D74FE">
        <w:rPr>
          <w:rFonts w:ascii="华文仿宋" w:eastAsia="华文仿宋" w:hAnsi="华文仿宋" w:cs="Arial"/>
          <w:color w:val="000000"/>
          <w:kern w:val="0"/>
          <w:sz w:val="28"/>
          <w:szCs w:val="28"/>
        </w:rPr>
        <w:t>4</w:t>
      </w:r>
      <w:r>
        <w:rPr>
          <w:rFonts w:ascii="华文仿宋" w:eastAsia="华文仿宋" w:hAnsi="华文仿宋" w:cs="Arial"/>
          <w:color w:val="000000"/>
          <w:kern w:val="0"/>
          <w:sz w:val="28"/>
          <w:szCs w:val="28"/>
        </w:rPr>
        <w:t>月</w:t>
      </w:r>
      <w:r w:rsidR="002D74FE">
        <w:rPr>
          <w:rFonts w:ascii="华文仿宋" w:eastAsia="华文仿宋" w:hAnsi="华文仿宋" w:cs="Arial"/>
          <w:color w:val="000000"/>
          <w:kern w:val="0"/>
          <w:sz w:val="28"/>
          <w:szCs w:val="28"/>
        </w:rPr>
        <w:t>17</w:t>
      </w:r>
      <w:r>
        <w:rPr>
          <w:rFonts w:ascii="华文仿宋" w:eastAsia="华文仿宋" w:hAnsi="华文仿宋" w:cs="Arial"/>
          <w:color w:val="000000"/>
          <w:kern w:val="0"/>
          <w:sz w:val="28"/>
          <w:szCs w:val="28"/>
        </w:rPr>
        <w:t>日，本基金在二级市场的收盘价为1.7</w:t>
      </w:r>
      <w:r w:rsidR="002D74FE">
        <w:rPr>
          <w:rFonts w:ascii="华文仿宋" w:eastAsia="华文仿宋" w:hAnsi="华文仿宋" w:cs="Arial"/>
          <w:color w:val="000000"/>
          <w:kern w:val="0"/>
          <w:sz w:val="28"/>
          <w:szCs w:val="28"/>
        </w:rPr>
        <w:t>49</w:t>
      </w:r>
      <w:r>
        <w:rPr>
          <w:rFonts w:ascii="华文仿宋" w:eastAsia="华文仿宋" w:hAnsi="华文仿宋" w:cs="Arial"/>
          <w:color w:val="000000"/>
          <w:kern w:val="0"/>
          <w:sz w:val="28"/>
          <w:szCs w:val="28"/>
        </w:rPr>
        <w:t>元，明显高于基金份额净值，</w:t>
      </w:r>
      <w:r>
        <w:rPr>
          <w:rFonts w:ascii="华文仿宋" w:eastAsia="华文仿宋" w:hAnsi="华文仿宋" w:cs="Arial"/>
          <w:b/>
          <w:color w:val="000000"/>
          <w:kern w:val="0"/>
          <w:sz w:val="28"/>
          <w:szCs w:val="28"/>
        </w:rPr>
        <w:t>投资者如果盲目投资于高溢价率的基金份额，可能遭受重大损失。</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为此，本基金管理人声明如下：</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1、本基金为上市开放式基金，除可在二级市场交易外，投资人还可以申购、赎回本基金，申购、赎回价格以申请当日收市后计算的基金份额净值进行计算，投资者可通过</w:t>
      </w:r>
      <w:r>
        <w:rPr>
          <w:rFonts w:ascii="华文仿宋" w:eastAsia="华文仿宋" w:hAnsi="华文仿宋" w:cs="Arial" w:hint="eastAsia"/>
          <w:color w:val="000000"/>
          <w:kern w:val="0"/>
          <w:sz w:val="28"/>
          <w:szCs w:val="28"/>
        </w:rPr>
        <w:t>本</w:t>
      </w:r>
      <w:r>
        <w:rPr>
          <w:rFonts w:ascii="华文仿宋" w:eastAsia="华文仿宋" w:hAnsi="华文仿宋" w:cs="Arial"/>
          <w:color w:val="000000"/>
          <w:kern w:val="0"/>
          <w:sz w:val="28"/>
          <w:szCs w:val="28"/>
        </w:rPr>
        <w:t>基金管理人网站或交易行情系统查询本基金的最新份额净值。</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2、截至目前，本基金运作正常。本基金管理人仍将严格按照法律法规及基金合同的相关规定进行投资运作。</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3、截至目前，本基金无其他应披露而未披露的重大信息。本基金管理人仍将严格按照有关规定和要求，及时做好信息披露工作。</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lastRenderedPageBreak/>
        <w:t>4、本基金二级市场的交易价格，除了有基金份额净值波动的风险外，还会受到市场供求关系、系统性风险、流动性风险等其他因素的影响，可能使投资人面临损失。</w:t>
      </w:r>
    </w:p>
    <w:p w:rsidR="00B562E4" w:rsidRDefault="00B562E4">
      <w:pPr>
        <w:widowControl/>
        <w:shd w:val="clear" w:color="auto" w:fill="FFFFFF"/>
        <w:ind w:firstLineChars="200" w:firstLine="560"/>
        <w:jc w:val="left"/>
        <w:rPr>
          <w:rFonts w:ascii="华文仿宋" w:eastAsia="华文仿宋" w:hAnsi="华文仿宋" w:cs="Arial"/>
          <w:color w:val="000000"/>
          <w:kern w:val="0"/>
          <w:sz w:val="28"/>
          <w:szCs w:val="28"/>
        </w:rPr>
      </w:pPr>
    </w:p>
    <w:p w:rsidR="00B562E4" w:rsidRDefault="005F4972">
      <w:pPr>
        <w:widowControl/>
        <w:shd w:val="clear" w:color="auto" w:fill="FFFFFF"/>
        <w:ind w:firstLineChars="200" w:firstLine="560"/>
        <w:jc w:val="left"/>
        <w:rPr>
          <w:rFonts w:ascii="华文仿宋" w:eastAsia="华文仿宋" w:hAnsi="华文仿宋" w:cs="宋体"/>
          <w:color w:val="000000"/>
          <w:kern w:val="0"/>
          <w:sz w:val="28"/>
          <w:szCs w:val="28"/>
        </w:rPr>
      </w:pPr>
      <w:r>
        <w:rPr>
          <w:rFonts w:ascii="华文仿宋" w:eastAsia="华文仿宋" w:hAnsi="华文仿宋" w:cs="Arial"/>
          <w:color w:val="000000"/>
          <w:kern w:val="0"/>
          <w:sz w:val="28"/>
          <w:szCs w:val="28"/>
        </w:rPr>
        <w:t>风险提示：</w:t>
      </w:r>
      <w:r>
        <w:rPr>
          <w:rFonts w:ascii="华文仿宋" w:eastAsia="华文仿宋" w:hAnsi="华文仿宋" w:cs="Arial" w:hint="eastAsia"/>
          <w:color w:val="000000"/>
          <w:kern w:val="0"/>
          <w:sz w:val="28"/>
          <w:szCs w:val="28"/>
        </w:rPr>
        <w:t>本</w:t>
      </w:r>
      <w:r>
        <w:rPr>
          <w:rFonts w:ascii="华文仿宋" w:eastAsia="华文仿宋" w:hAnsi="华文仿宋" w:cs="Arial"/>
          <w:color w:val="000000"/>
          <w:kern w:val="0"/>
          <w:sz w:val="28"/>
          <w:szCs w:val="28"/>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w:t>
      </w:r>
      <w:r>
        <w:rPr>
          <w:rFonts w:ascii="华文仿宋" w:eastAsia="华文仿宋" w:hAnsi="华文仿宋" w:cs="Arial" w:hint="eastAsia"/>
          <w:color w:val="000000"/>
          <w:kern w:val="0"/>
          <w:sz w:val="28"/>
          <w:szCs w:val="28"/>
        </w:rPr>
        <w:t>本</w:t>
      </w:r>
      <w:r>
        <w:rPr>
          <w:rFonts w:ascii="华文仿宋" w:eastAsia="华文仿宋" w:hAnsi="华文仿宋" w:cs="Arial"/>
          <w:color w:val="000000"/>
          <w:kern w:val="0"/>
          <w:sz w:val="28"/>
          <w:szCs w:val="28"/>
        </w:rPr>
        <w:t>基金管理人提醒投资者基金投资的“买者自负”原则，在投资者作出投资决策后，基金运营状况与基金净值变化引致的投资风险，由投资者自行负责。</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hint="eastAsia"/>
          <w:color w:val="000000"/>
          <w:kern w:val="0"/>
          <w:sz w:val="28"/>
          <w:szCs w:val="28"/>
        </w:rPr>
        <w:t>敬请投资者注意投资风险。</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特此公告。</w:t>
      </w:r>
    </w:p>
    <w:p w:rsidR="00B562E4" w:rsidRDefault="00B562E4">
      <w:pPr>
        <w:widowControl/>
        <w:shd w:val="clear" w:color="auto" w:fill="FFFFFF"/>
        <w:ind w:firstLineChars="200" w:firstLine="560"/>
        <w:jc w:val="left"/>
        <w:rPr>
          <w:rFonts w:ascii="华文仿宋" w:eastAsia="华文仿宋" w:hAnsi="华文仿宋" w:cs="Arial"/>
          <w:color w:val="000000"/>
          <w:kern w:val="0"/>
          <w:sz w:val="28"/>
          <w:szCs w:val="28"/>
        </w:rPr>
      </w:pPr>
    </w:p>
    <w:p w:rsidR="00B562E4" w:rsidRDefault="00B562E4">
      <w:pPr>
        <w:widowControl/>
        <w:shd w:val="clear" w:color="auto" w:fill="FFFFFF"/>
        <w:jc w:val="left"/>
        <w:rPr>
          <w:rFonts w:ascii="华文仿宋" w:eastAsia="华文仿宋" w:hAnsi="华文仿宋" w:cs="Arial"/>
          <w:color w:val="000000"/>
          <w:kern w:val="0"/>
          <w:sz w:val="28"/>
          <w:szCs w:val="28"/>
        </w:rPr>
      </w:pPr>
    </w:p>
    <w:p w:rsidR="00B562E4" w:rsidRDefault="005F4972">
      <w:pPr>
        <w:widowControl/>
        <w:shd w:val="clear" w:color="auto" w:fill="FFFFFF"/>
        <w:ind w:firstLineChars="1100" w:firstLine="3080"/>
        <w:jc w:val="right"/>
        <w:rPr>
          <w:rFonts w:ascii="华文仿宋" w:eastAsia="华文仿宋" w:hAnsi="华文仿宋" w:cs="Arial"/>
          <w:color w:val="000000"/>
          <w:kern w:val="0"/>
          <w:sz w:val="28"/>
          <w:szCs w:val="28"/>
        </w:rPr>
      </w:pPr>
      <w:r>
        <w:rPr>
          <w:rFonts w:ascii="华文仿宋" w:eastAsia="华文仿宋" w:hAnsi="华文仿宋" w:cs="Arial" w:hint="eastAsia"/>
          <w:color w:val="000000"/>
          <w:kern w:val="0"/>
          <w:sz w:val="28"/>
          <w:szCs w:val="28"/>
        </w:rPr>
        <w:t>申万菱信</w:t>
      </w:r>
      <w:r>
        <w:rPr>
          <w:rFonts w:ascii="华文仿宋" w:eastAsia="华文仿宋" w:hAnsi="华文仿宋" w:cs="Arial"/>
          <w:color w:val="000000"/>
          <w:kern w:val="0"/>
          <w:sz w:val="28"/>
          <w:szCs w:val="28"/>
        </w:rPr>
        <w:t>基金管理有限公司</w:t>
      </w:r>
    </w:p>
    <w:p w:rsidR="00B562E4" w:rsidRDefault="005F4972">
      <w:pPr>
        <w:widowControl/>
        <w:shd w:val="clear" w:color="auto" w:fill="FFFFFF"/>
        <w:ind w:firstLineChars="1400" w:firstLine="3920"/>
        <w:jc w:val="right"/>
      </w:pPr>
      <w:r>
        <w:rPr>
          <w:rFonts w:ascii="华文仿宋" w:eastAsia="华文仿宋" w:hAnsi="华文仿宋" w:cs="Arial"/>
          <w:color w:val="000000"/>
          <w:kern w:val="0"/>
          <w:sz w:val="28"/>
          <w:szCs w:val="28"/>
        </w:rPr>
        <w:t>2024年</w:t>
      </w:r>
      <w:r w:rsidR="002D74FE">
        <w:rPr>
          <w:rFonts w:ascii="华文仿宋" w:eastAsia="华文仿宋" w:hAnsi="华文仿宋" w:cs="Arial"/>
          <w:color w:val="000000"/>
          <w:kern w:val="0"/>
          <w:sz w:val="28"/>
          <w:szCs w:val="28"/>
        </w:rPr>
        <w:t>4</w:t>
      </w:r>
      <w:r>
        <w:rPr>
          <w:rFonts w:ascii="华文仿宋" w:eastAsia="华文仿宋" w:hAnsi="华文仿宋" w:cs="Arial"/>
          <w:color w:val="000000"/>
          <w:kern w:val="0"/>
          <w:sz w:val="28"/>
          <w:szCs w:val="28"/>
        </w:rPr>
        <w:t>月</w:t>
      </w:r>
      <w:r w:rsidR="002D74FE">
        <w:rPr>
          <w:rFonts w:ascii="华文仿宋" w:eastAsia="华文仿宋" w:hAnsi="华文仿宋" w:cs="Arial"/>
          <w:color w:val="000000"/>
          <w:kern w:val="0"/>
          <w:sz w:val="28"/>
          <w:szCs w:val="28"/>
        </w:rPr>
        <w:t>18</w:t>
      </w:r>
      <w:r>
        <w:rPr>
          <w:rFonts w:ascii="华文仿宋" w:eastAsia="华文仿宋" w:hAnsi="华文仿宋" w:cs="Arial"/>
          <w:color w:val="000000"/>
          <w:kern w:val="0"/>
          <w:sz w:val="28"/>
          <w:szCs w:val="28"/>
        </w:rPr>
        <w:t>日</w:t>
      </w:r>
    </w:p>
    <w:sectPr w:rsidR="00B562E4" w:rsidSect="005D5C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72" w:rsidRDefault="005F4972" w:rsidP="005F4972">
      <w:r>
        <w:separator/>
      </w:r>
    </w:p>
  </w:endnote>
  <w:endnote w:type="continuationSeparator" w:id="0">
    <w:p w:rsidR="005F4972" w:rsidRDefault="005F4972" w:rsidP="005F497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72" w:rsidRDefault="005F4972" w:rsidP="005F4972">
      <w:r>
        <w:separator/>
      </w:r>
    </w:p>
  </w:footnote>
  <w:footnote w:type="continuationSeparator" w:id="0">
    <w:p w:rsidR="005F4972" w:rsidRDefault="005F4972" w:rsidP="005F4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E2ZjQ3MzZhYWIzMWM4OWY2ODMyNTljMGY1ZTFiZWQifQ=="/>
  </w:docVars>
  <w:rsids>
    <w:rsidRoot w:val="00C63F01"/>
    <w:rsid w:val="000C332A"/>
    <w:rsid w:val="0018564D"/>
    <w:rsid w:val="002D74FE"/>
    <w:rsid w:val="004213E4"/>
    <w:rsid w:val="005364C6"/>
    <w:rsid w:val="005D5C78"/>
    <w:rsid w:val="005F4972"/>
    <w:rsid w:val="00B41DF8"/>
    <w:rsid w:val="00B562E4"/>
    <w:rsid w:val="00C63F01"/>
    <w:rsid w:val="49490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972"/>
    <w:rPr>
      <w:kern w:val="2"/>
      <w:sz w:val="18"/>
      <w:szCs w:val="18"/>
    </w:rPr>
  </w:style>
  <w:style w:type="paragraph" w:styleId="a4">
    <w:name w:val="footer"/>
    <w:basedOn w:val="a"/>
    <w:link w:val="Char0"/>
    <w:uiPriority w:val="99"/>
    <w:unhideWhenUsed/>
    <w:rsid w:val="005F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5F497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4</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cp:lastPrinted>2024-04-17T08:11:00Z</cp:lastPrinted>
  <dcterms:created xsi:type="dcterms:W3CDTF">2024-04-17T16:01:00Z</dcterms:created>
  <dcterms:modified xsi:type="dcterms:W3CDTF">2024-04-17T16:01:00Z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098118097D5245CCB8C78CF7F13D73ED_12</vt:lpwstr>
  </property>
</Properties>
</file>