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D12" w:rsidRDefault="00C44636">
      <w:pPr>
        <w:widowControl/>
        <w:kinsoku w:val="0"/>
        <w:autoSpaceDE w:val="0"/>
        <w:autoSpaceDN w:val="0"/>
        <w:adjustRightInd w:val="0"/>
        <w:snapToGrid w:val="0"/>
        <w:spacing w:before="63" w:line="221" w:lineRule="auto"/>
        <w:ind w:left="2607"/>
        <w:jc w:val="left"/>
        <w:textAlignment w:val="baseline"/>
        <w:outlineLvl w:val="0"/>
        <w:rPr>
          <w:rFonts w:ascii="楷体" w:eastAsia="楷体" w:hAnsi="楷体" w:cs="楷体"/>
          <w:snapToGrid w:val="0"/>
          <w:color w:val="000000"/>
          <w:kern w:val="0"/>
          <w:sz w:val="31"/>
          <w:szCs w:val="31"/>
        </w:rPr>
      </w:pPr>
      <w:r>
        <w:rPr>
          <w:rFonts w:ascii="楷体" w:eastAsia="楷体" w:hAnsi="楷体" w:cs="楷体"/>
          <w:snapToGrid w:val="0"/>
          <w:color w:val="000000"/>
          <w:spacing w:val="6"/>
          <w:kern w:val="0"/>
          <w:sz w:val="31"/>
          <w:szCs w:val="31"/>
        </w:rPr>
        <w:t>中航基金管理有限公司</w:t>
      </w:r>
    </w:p>
    <w:p w:rsidR="00743D12" w:rsidRDefault="00C44636">
      <w:pPr>
        <w:widowControl/>
        <w:kinsoku w:val="0"/>
        <w:autoSpaceDE w:val="0"/>
        <w:autoSpaceDN w:val="0"/>
        <w:adjustRightInd w:val="0"/>
        <w:snapToGrid w:val="0"/>
        <w:spacing w:before="44" w:line="222" w:lineRule="auto"/>
        <w:ind w:left="181"/>
        <w:jc w:val="center"/>
        <w:textAlignment w:val="baseline"/>
        <w:rPr>
          <w:rFonts w:ascii="楷体" w:eastAsia="楷体" w:hAnsi="楷体" w:cs="楷体"/>
          <w:snapToGrid w:val="0"/>
          <w:color w:val="000000"/>
          <w:spacing w:val="9"/>
          <w:kern w:val="0"/>
          <w:sz w:val="31"/>
          <w:szCs w:val="31"/>
        </w:rPr>
      </w:pPr>
      <w:r>
        <w:rPr>
          <w:rFonts w:ascii="楷体" w:eastAsia="楷体" w:hAnsi="楷体" w:cs="楷体"/>
          <w:snapToGrid w:val="0"/>
          <w:color w:val="000000"/>
          <w:spacing w:val="10"/>
          <w:kern w:val="0"/>
          <w:sz w:val="31"/>
          <w:szCs w:val="31"/>
        </w:rPr>
        <w:t>关于中航首钢生物质封闭式基础设施证券投资</w:t>
      </w:r>
      <w:r>
        <w:rPr>
          <w:rFonts w:ascii="楷体" w:eastAsia="楷体" w:hAnsi="楷体" w:cs="楷体"/>
          <w:snapToGrid w:val="0"/>
          <w:color w:val="000000"/>
          <w:spacing w:val="9"/>
          <w:kern w:val="0"/>
          <w:sz w:val="31"/>
          <w:szCs w:val="31"/>
        </w:rPr>
        <w:t>基金</w:t>
      </w:r>
    </w:p>
    <w:p w:rsidR="00743D12" w:rsidRDefault="00C44636">
      <w:pPr>
        <w:widowControl/>
        <w:kinsoku w:val="0"/>
        <w:autoSpaceDE w:val="0"/>
        <w:autoSpaceDN w:val="0"/>
        <w:adjustRightInd w:val="0"/>
        <w:snapToGrid w:val="0"/>
        <w:spacing w:before="44" w:line="222" w:lineRule="auto"/>
        <w:jc w:val="center"/>
        <w:textAlignment w:val="baseline"/>
        <w:rPr>
          <w:rFonts w:ascii="楷体" w:eastAsia="楷体" w:hAnsi="楷体" w:cs="楷体"/>
          <w:snapToGrid w:val="0"/>
          <w:color w:val="000000"/>
          <w:kern w:val="0"/>
          <w:sz w:val="31"/>
          <w:szCs w:val="31"/>
        </w:rPr>
      </w:pPr>
      <w:r>
        <w:rPr>
          <w:rFonts w:ascii="楷体" w:eastAsia="楷体" w:hAnsi="楷体" w:cs="楷体"/>
          <w:snapToGrid w:val="0"/>
          <w:color w:val="000000"/>
          <w:spacing w:val="9"/>
          <w:kern w:val="0"/>
          <w:sz w:val="31"/>
          <w:szCs w:val="31"/>
        </w:rPr>
        <w:t>底层项</w:t>
      </w:r>
      <w:r>
        <w:rPr>
          <w:rFonts w:ascii="楷体" w:eastAsia="楷体" w:hAnsi="楷体" w:cs="楷体"/>
          <w:snapToGrid w:val="0"/>
          <w:color w:val="000000"/>
          <w:spacing w:val="6"/>
          <w:kern w:val="0"/>
          <w:sz w:val="31"/>
          <w:szCs w:val="31"/>
        </w:rPr>
        <w:t>目公司</w:t>
      </w:r>
      <w:r>
        <w:rPr>
          <w:rFonts w:ascii="楷体" w:eastAsia="楷体" w:hAnsi="楷体" w:cs="楷体" w:hint="eastAsia"/>
          <w:snapToGrid w:val="0"/>
          <w:color w:val="000000"/>
          <w:spacing w:val="6"/>
          <w:kern w:val="0"/>
          <w:sz w:val="31"/>
          <w:szCs w:val="31"/>
        </w:rPr>
        <w:t>完成机组检修</w:t>
      </w:r>
      <w:r>
        <w:rPr>
          <w:rFonts w:ascii="楷体" w:eastAsia="楷体" w:hAnsi="楷体" w:cs="楷体"/>
          <w:snapToGrid w:val="0"/>
          <w:color w:val="000000"/>
          <w:spacing w:val="6"/>
          <w:kern w:val="0"/>
          <w:sz w:val="31"/>
          <w:szCs w:val="31"/>
        </w:rPr>
        <w:t>情况的临时公告</w:t>
      </w:r>
    </w:p>
    <w:p w:rsidR="00743D12" w:rsidRDefault="00C44636">
      <w:pPr>
        <w:widowControl/>
        <w:numPr>
          <w:ilvl w:val="0"/>
          <w:numId w:val="1"/>
        </w:numPr>
        <w:spacing w:before="309" w:line="240" w:lineRule="auto"/>
        <w:jc w:val="left"/>
        <w:rPr>
          <w:rFonts w:ascii="楷体" w:eastAsia="楷体" w:hAnsi="楷体" w:cs="楷体"/>
          <w:snapToGrid w:val="0"/>
          <w:color w:val="000000"/>
          <w:spacing w:val="-1"/>
          <w:kern w:val="0"/>
          <w:sz w:val="24"/>
          <w:szCs w:val="24"/>
          <w:lang w:eastAsia="en-US"/>
        </w:rPr>
      </w:pPr>
      <w:r>
        <w:rPr>
          <w:rFonts w:ascii="楷体" w:eastAsia="楷体" w:hAnsi="楷体" w:cs="楷体"/>
          <w:snapToGrid w:val="0"/>
          <w:color w:val="000000"/>
          <w:spacing w:val="-1"/>
          <w:kern w:val="0"/>
          <w:sz w:val="24"/>
          <w:szCs w:val="24"/>
          <w:lang w:eastAsia="en-US"/>
        </w:rPr>
        <w:t>公募</w:t>
      </w:r>
      <w:r>
        <w:rPr>
          <w:rFonts w:ascii="楷体" w:eastAsia="楷体" w:hAnsi="楷体" w:cs="楷体"/>
          <w:snapToGrid w:val="0"/>
          <w:color w:val="000000"/>
          <w:spacing w:val="-1"/>
          <w:kern w:val="0"/>
          <w:sz w:val="24"/>
          <w:szCs w:val="24"/>
          <w:lang w:eastAsia="en-US"/>
        </w:rPr>
        <w:t>REITs</w:t>
      </w:r>
      <w:r>
        <w:rPr>
          <w:rFonts w:ascii="楷体" w:eastAsia="楷体" w:hAnsi="楷体" w:cs="楷体"/>
          <w:snapToGrid w:val="0"/>
          <w:color w:val="000000"/>
          <w:spacing w:val="-1"/>
          <w:kern w:val="0"/>
          <w:sz w:val="24"/>
          <w:szCs w:val="24"/>
          <w:lang w:eastAsia="en-US"/>
        </w:rPr>
        <w:t>基本信息</w:t>
      </w:r>
    </w:p>
    <w:tbl>
      <w:tblPr>
        <w:tblStyle w:val="TableNormal"/>
        <w:tblW w:w="8644"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687"/>
        <w:gridCol w:w="5957"/>
      </w:tblGrid>
      <w:tr w:rsidR="00743D12">
        <w:trPr>
          <w:trHeight w:val="360"/>
          <w:jc w:val="center"/>
        </w:trPr>
        <w:tc>
          <w:tcPr>
            <w:tcW w:w="2687" w:type="dxa"/>
            <w:vAlign w:val="center"/>
          </w:tcPr>
          <w:p w:rsidR="00743D12" w:rsidRDefault="00C44636">
            <w:pPr>
              <w:widowControl/>
              <w:kinsoku w:val="0"/>
              <w:autoSpaceDE w:val="0"/>
              <w:autoSpaceDN w:val="0"/>
              <w:adjustRightInd w:val="0"/>
              <w:snapToGrid w:val="0"/>
              <w:spacing w:before="57" w:line="220" w:lineRule="auto"/>
              <w:ind w:left="107"/>
              <w:jc w:val="left"/>
              <w:textAlignment w:val="baseline"/>
              <w:rPr>
                <w:rFonts w:eastAsia="楷体" w:cs="楷体"/>
                <w:kern w:val="0"/>
                <w:sz w:val="24"/>
                <w:szCs w:val="24"/>
                <w:lang w:eastAsia="en-US"/>
              </w:rPr>
            </w:pPr>
            <w:r>
              <w:rPr>
                <w:rFonts w:eastAsia="楷体" w:cs="楷体"/>
                <w:spacing w:val="-1"/>
                <w:kern w:val="0"/>
                <w:sz w:val="24"/>
                <w:szCs w:val="24"/>
                <w:lang w:eastAsia="en-US"/>
              </w:rPr>
              <w:t>公募</w:t>
            </w:r>
            <w:r>
              <w:rPr>
                <w:rFonts w:eastAsia="楷体" w:cs="Times New Roman"/>
                <w:spacing w:val="-1"/>
                <w:kern w:val="0"/>
                <w:sz w:val="24"/>
                <w:szCs w:val="24"/>
                <w:lang w:eastAsia="en-US"/>
              </w:rPr>
              <w:t>REITs</w:t>
            </w:r>
            <w:r>
              <w:rPr>
                <w:rFonts w:eastAsia="楷体" w:cs="楷体"/>
                <w:spacing w:val="-1"/>
                <w:kern w:val="0"/>
                <w:sz w:val="24"/>
                <w:szCs w:val="24"/>
                <w:lang w:eastAsia="en-US"/>
              </w:rPr>
              <w:t>名称</w:t>
            </w:r>
          </w:p>
        </w:tc>
        <w:tc>
          <w:tcPr>
            <w:tcW w:w="5957" w:type="dxa"/>
            <w:vAlign w:val="center"/>
          </w:tcPr>
          <w:p w:rsidR="00743D12" w:rsidRDefault="00C44636">
            <w:pPr>
              <w:widowControl/>
              <w:kinsoku w:val="0"/>
              <w:autoSpaceDE w:val="0"/>
              <w:autoSpaceDN w:val="0"/>
              <w:adjustRightInd w:val="0"/>
              <w:snapToGrid w:val="0"/>
              <w:spacing w:before="40" w:line="217" w:lineRule="auto"/>
              <w:ind w:left="139"/>
              <w:jc w:val="left"/>
              <w:textAlignment w:val="baseline"/>
              <w:rPr>
                <w:rFonts w:eastAsia="楷体" w:cs="楷体"/>
                <w:kern w:val="0"/>
                <w:sz w:val="24"/>
                <w:szCs w:val="24"/>
              </w:rPr>
            </w:pPr>
            <w:r>
              <w:rPr>
                <w:rFonts w:eastAsia="楷体" w:cs="楷体"/>
                <w:spacing w:val="-2"/>
                <w:kern w:val="0"/>
                <w:sz w:val="24"/>
                <w:szCs w:val="24"/>
              </w:rPr>
              <w:t>中航首钢生物质封闭式基础设施证券投资基金</w:t>
            </w:r>
          </w:p>
        </w:tc>
      </w:tr>
      <w:tr w:rsidR="00743D12">
        <w:trPr>
          <w:trHeight w:val="316"/>
          <w:jc w:val="center"/>
        </w:trPr>
        <w:tc>
          <w:tcPr>
            <w:tcW w:w="2687" w:type="dxa"/>
            <w:vAlign w:val="center"/>
          </w:tcPr>
          <w:p w:rsidR="00743D12" w:rsidRDefault="00C44636">
            <w:pPr>
              <w:widowControl/>
              <w:kinsoku w:val="0"/>
              <w:autoSpaceDE w:val="0"/>
              <w:autoSpaceDN w:val="0"/>
              <w:adjustRightInd w:val="0"/>
              <w:snapToGrid w:val="0"/>
              <w:spacing w:before="32" w:line="210" w:lineRule="auto"/>
              <w:ind w:left="107"/>
              <w:jc w:val="left"/>
              <w:textAlignment w:val="baseline"/>
              <w:rPr>
                <w:rFonts w:eastAsia="楷体" w:cs="楷体"/>
                <w:kern w:val="0"/>
                <w:sz w:val="24"/>
                <w:szCs w:val="24"/>
                <w:lang w:eastAsia="en-US"/>
              </w:rPr>
            </w:pPr>
            <w:r>
              <w:rPr>
                <w:rFonts w:eastAsia="楷体" w:cs="楷体"/>
                <w:spacing w:val="-3"/>
                <w:kern w:val="0"/>
                <w:sz w:val="24"/>
                <w:szCs w:val="24"/>
                <w:lang w:eastAsia="en-US"/>
              </w:rPr>
              <w:t>公募</w:t>
            </w:r>
            <w:r>
              <w:rPr>
                <w:rFonts w:eastAsia="楷体" w:cs="Times New Roman"/>
                <w:spacing w:val="-3"/>
                <w:kern w:val="0"/>
                <w:sz w:val="24"/>
                <w:szCs w:val="24"/>
                <w:lang w:eastAsia="en-US"/>
              </w:rPr>
              <w:t>REITs</w:t>
            </w:r>
            <w:r>
              <w:rPr>
                <w:rFonts w:eastAsia="楷体" w:cs="楷体"/>
                <w:spacing w:val="-3"/>
                <w:kern w:val="0"/>
                <w:sz w:val="24"/>
                <w:szCs w:val="24"/>
                <w:lang w:eastAsia="en-US"/>
              </w:rPr>
              <w:t>简称</w:t>
            </w:r>
          </w:p>
        </w:tc>
        <w:tc>
          <w:tcPr>
            <w:tcW w:w="5957" w:type="dxa"/>
            <w:vAlign w:val="center"/>
          </w:tcPr>
          <w:p w:rsidR="00743D12" w:rsidRDefault="00C44636">
            <w:pPr>
              <w:widowControl/>
              <w:kinsoku w:val="0"/>
              <w:autoSpaceDE w:val="0"/>
              <w:autoSpaceDN w:val="0"/>
              <w:adjustRightInd w:val="0"/>
              <w:snapToGrid w:val="0"/>
              <w:spacing w:before="32" w:line="210" w:lineRule="auto"/>
              <w:ind w:left="139"/>
              <w:jc w:val="left"/>
              <w:textAlignment w:val="baseline"/>
              <w:rPr>
                <w:rFonts w:eastAsia="楷体" w:cs="Times New Roman"/>
                <w:kern w:val="0"/>
                <w:sz w:val="24"/>
                <w:szCs w:val="24"/>
                <w:lang w:eastAsia="en-US"/>
              </w:rPr>
            </w:pPr>
            <w:r>
              <w:rPr>
                <w:rFonts w:eastAsia="楷体" w:cs="楷体"/>
                <w:spacing w:val="-4"/>
                <w:kern w:val="0"/>
                <w:sz w:val="24"/>
                <w:szCs w:val="24"/>
                <w:lang w:eastAsia="en-US"/>
              </w:rPr>
              <w:t>中航首钢绿能</w:t>
            </w:r>
            <w:r>
              <w:rPr>
                <w:rFonts w:eastAsia="楷体" w:cs="Times New Roman"/>
                <w:spacing w:val="-4"/>
                <w:kern w:val="0"/>
                <w:sz w:val="24"/>
                <w:szCs w:val="24"/>
                <w:lang w:eastAsia="en-US"/>
              </w:rPr>
              <w:t>REIT</w:t>
            </w:r>
          </w:p>
        </w:tc>
      </w:tr>
      <w:tr w:rsidR="00743D12">
        <w:trPr>
          <w:trHeight w:val="395"/>
          <w:jc w:val="center"/>
        </w:trPr>
        <w:tc>
          <w:tcPr>
            <w:tcW w:w="2687" w:type="dxa"/>
            <w:vAlign w:val="center"/>
          </w:tcPr>
          <w:p w:rsidR="00743D12" w:rsidRDefault="00C44636">
            <w:pPr>
              <w:widowControl/>
              <w:kinsoku w:val="0"/>
              <w:autoSpaceDE w:val="0"/>
              <w:autoSpaceDN w:val="0"/>
              <w:adjustRightInd w:val="0"/>
              <w:snapToGrid w:val="0"/>
              <w:spacing w:before="75" w:line="220" w:lineRule="auto"/>
              <w:ind w:left="107"/>
              <w:jc w:val="left"/>
              <w:textAlignment w:val="baseline"/>
              <w:rPr>
                <w:rFonts w:eastAsia="楷体" w:cs="楷体"/>
                <w:kern w:val="0"/>
                <w:sz w:val="24"/>
                <w:szCs w:val="24"/>
                <w:lang w:eastAsia="en-US"/>
              </w:rPr>
            </w:pPr>
            <w:r>
              <w:rPr>
                <w:rFonts w:eastAsia="楷体" w:cs="楷体"/>
                <w:spacing w:val="-1"/>
                <w:kern w:val="0"/>
                <w:sz w:val="24"/>
                <w:szCs w:val="24"/>
                <w:lang w:eastAsia="en-US"/>
              </w:rPr>
              <w:t>公募</w:t>
            </w:r>
            <w:r>
              <w:rPr>
                <w:rFonts w:eastAsia="楷体" w:cs="Times New Roman"/>
                <w:spacing w:val="-1"/>
                <w:kern w:val="0"/>
                <w:sz w:val="24"/>
                <w:szCs w:val="24"/>
                <w:lang w:eastAsia="en-US"/>
              </w:rPr>
              <w:t>REITs</w:t>
            </w:r>
            <w:r>
              <w:rPr>
                <w:rFonts w:eastAsia="楷体" w:cs="楷体"/>
                <w:spacing w:val="-1"/>
                <w:kern w:val="0"/>
                <w:sz w:val="24"/>
                <w:szCs w:val="24"/>
                <w:lang w:eastAsia="en-US"/>
              </w:rPr>
              <w:t>代码</w:t>
            </w:r>
          </w:p>
        </w:tc>
        <w:tc>
          <w:tcPr>
            <w:tcW w:w="5957" w:type="dxa"/>
            <w:vAlign w:val="center"/>
          </w:tcPr>
          <w:p w:rsidR="00743D12" w:rsidRDefault="00C44636">
            <w:pPr>
              <w:widowControl/>
              <w:kinsoku w:val="0"/>
              <w:autoSpaceDE w:val="0"/>
              <w:autoSpaceDN w:val="0"/>
              <w:adjustRightInd w:val="0"/>
              <w:snapToGrid w:val="0"/>
              <w:spacing w:before="54" w:line="186" w:lineRule="auto"/>
              <w:ind w:left="132"/>
              <w:jc w:val="left"/>
              <w:textAlignment w:val="baseline"/>
              <w:rPr>
                <w:rFonts w:eastAsia="楷体" w:cs="Times New Roman"/>
                <w:kern w:val="0"/>
                <w:sz w:val="24"/>
                <w:szCs w:val="24"/>
                <w:lang w:eastAsia="en-US"/>
              </w:rPr>
            </w:pPr>
            <w:r>
              <w:rPr>
                <w:rFonts w:eastAsia="楷体" w:cs="Times New Roman"/>
                <w:spacing w:val="-4"/>
                <w:kern w:val="0"/>
                <w:sz w:val="24"/>
                <w:szCs w:val="24"/>
                <w:lang w:eastAsia="en-US"/>
              </w:rPr>
              <w:t>180801</w:t>
            </w:r>
          </w:p>
        </w:tc>
      </w:tr>
      <w:tr w:rsidR="00743D12">
        <w:trPr>
          <w:trHeight w:val="395"/>
          <w:jc w:val="center"/>
        </w:trPr>
        <w:tc>
          <w:tcPr>
            <w:tcW w:w="2687" w:type="dxa"/>
            <w:vAlign w:val="center"/>
          </w:tcPr>
          <w:p w:rsidR="00743D12" w:rsidRDefault="00C44636">
            <w:pPr>
              <w:widowControl/>
              <w:kinsoku w:val="0"/>
              <w:autoSpaceDE w:val="0"/>
              <w:autoSpaceDN w:val="0"/>
              <w:adjustRightInd w:val="0"/>
              <w:snapToGrid w:val="0"/>
              <w:spacing w:before="75" w:line="215" w:lineRule="auto"/>
              <w:ind w:left="107"/>
              <w:jc w:val="left"/>
              <w:textAlignment w:val="baseline"/>
              <w:rPr>
                <w:rFonts w:eastAsia="楷体" w:cs="楷体"/>
                <w:kern w:val="0"/>
                <w:sz w:val="24"/>
                <w:szCs w:val="24"/>
                <w:lang w:eastAsia="en-US"/>
              </w:rPr>
            </w:pPr>
            <w:r>
              <w:rPr>
                <w:rFonts w:eastAsia="楷体" w:cs="楷体"/>
                <w:spacing w:val="-1"/>
                <w:kern w:val="0"/>
                <w:sz w:val="24"/>
                <w:szCs w:val="24"/>
                <w:lang w:eastAsia="en-US"/>
              </w:rPr>
              <w:t>公募</w:t>
            </w:r>
            <w:r>
              <w:rPr>
                <w:rFonts w:eastAsia="楷体" w:cs="Times New Roman"/>
                <w:spacing w:val="-1"/>
                <w:kern w:val="0"/>
                <w:sz w:val="24"/>
                <w:szCs w:val="24"/>
                <w:lang w:eastAsia="en-US"/>
              </w:rPr>
              <w:t>REITs</w:t>
            </w:r>
            <w:r>
              <w:rPr>
                <w:rFonts w:eastAsia="楷体" w:cs="楷体"/>
                <w:spacing w:val="-1"/>
                <w:kern w:val="0"/>
                <w:sz w:val="24"/>
                <w:szCs w:val="24"/>
                <w:lang w:eastAsia="en-US"/>
              </w:rPr>
              <w:t>合同生效日</w:t>
            </w:r>
          </w:p>
        </w:tc>
        <w:tc>
          <w:tcPr>
            <w:tcW w:w="5957" w:type="dxa"/>
            <w:vAlign w:val="center"/>
          </w:tcPr>
          <w:p w:rsidR="00743D12" w:rsidRDefault="00C44636">
            <w:pPr>
              <w:widowControl/>
              <w:kinsoku w:val="0"/>
              <w:autoSpaceDE w:val="0"/>
              <w:autoSpaceDN w:val="0"/>
              <w:adjustRightInd w:val="0"/>
              <w:snapToGrid w:val="0"/>
              <w:spacing w:before="54" w:line="186" w:lineRule="auto"/>
              <w:ind w:left="109"/>
              <w:jc w:val="left"/>
              <w:textAlignment w:val="baseline"/>
              <w:rPr>
                <w:rFonts w:eastAsia="楷体" w:cs="Times New Roman"/>
                <w:kern w:val="0"/>
                <w:sz w:val="24"/>
                <w:szCs w:val="24"/>
                <w:lang w:eastAsia="en-US"/>
              </w:rPr>
            </w:pPr>
            <w:r>
              <w:rPr>
                <w:rFonts w:eastAsia="楷体" w:cs="Times New Roman"/>
                <w:spacing w:val="-1"/>
                <w:kern w:val="0"/>
                <w:sz w:val="24"/>
                <w:szCs w:val="24"/>
                <w:lang w:eastAsia="en-US"/>
              </w:rPr>
              <w:t>2021-06-07</w:t>
            </w:r>
          </w:p>
        </w:tc>
      </w:tr>
      <w:tr w:rsidR="00743D12">
        <w:trPr>
          <w:trHeight w:val="316"/>
          <w:jc w:val="center"/>
        </w:trPr>
        <w:tc>
          <w:tcPr>
            <w:tcW w:w="2687" w:type="dxa"/>
            <w:vAlign w:val="center"/>
          </w:tcPr>
          <w:p w:rsidR="00743D12" w:rsidRDefault="00C44636">
            <w:pPr>
              <w:widowControl/>
              <w:kinsoku w:val="0"/>
              <w:autoSpaceDE w:val="0"/>
              <w:autoSpaceDN w:val="0"/>
              <w:adjustRightInd w:val="0"/>
              <w:snapToGrid w:val="0"/>
              <w:spacing w:before="35" w:line="208" w:lineRule="auto"/>
              <w:ind w:left="109"/>
              <w:jc w:val="left"/>
              <w:textAlignment w:val="baseline"/>
              <w:rPr>
                <w:rFonts w:eastAsia="楷体" w:cs="楷体"/>
                <w:kern w:val="0"/>
                <w:sz w:val="24"/>
                <w:szCs w:val="24"/>
                <w:lang w:eastAsia="en-US"/>
              </w:rPr>
            </w:pPr>
            <w:r>
              <w:rPr>
                <w:rFonts w:eastAsia="楷体" w:cs="楷体"/>
                <w:spacing w:val="-1"/>
                <w:kern w:val="0"/>
                <w:sz w:val="24"/>
                <w:szCs w:val="24"/>
                <w:lang w:eastAsia="en-US"/>
              </w:rPr>
              <w:t>基金管理人名称</w:t>
            </w:r>
          </w:p>
        </w:tc>
        <w:tc>
          <w:tcPr>
            <w:tcW w:w="5957" w:type="dxa"/>
            <w:vAlign w:val="center"/>
          </w:tcPr>
          <w:p w:rsidR="00743D12" w:rsidRDefault="00C44636">
            <w:pPr>
              <w:widowControl/>
              <w:kinsoku w:val="0"/>
              <w:autoSpaceDE w:val="0"/>
              <w:autoSpaceDN w:val="0"/>
              <w:adjustRightInd w:val="0"/>
              <w:snapToGrid w:val="0"/>
              <w:spacing w:before="35" w:line="208" w:lineRule="auto"/>
              <w:ind w:left="139"/>
              <w:jc w:val="left"/>
              <w:textAlignment w:val="baseline"/>
              <w:rPr>
                <w:rFonts w:eastAsia="楷体" w:cs="楷体"/>
                <w:kern w:val="0"/>
                <w:sz w:val="24"/>
                <w:szCs w:val="24"/>
                <w:lang w:eastAsia="en-US"/>
              </w:rPr>
            </w:pPr>
            <w:r>
              <w:rPr>
                <w:rFonts w:eastAsia="楷体" w:cs="楷体"/>
                <w:spacing w:val="-4"/>
                <w:kern w:val="0"/>
                <w:sz w:val="24"/>
                <w:szCs w:val="24"/>
                <w:lang w:eastAsia="en-US"/>
              </w:rPr>
              <w:t>中航基金管理有限公司</w:t>
            </w:r>
          </w:p>
        </w:tc>
      </w:tr>
      <w:tr w:rsidR="00743D12">
        <w:trPr>
          <w:trHeight w:val="422"/>
          <w:jc w:val="center"/>
        </w:trPr>
        <w:tc>
          <w:tcPr>
            <w:tcW w:w="2687" w:type="dxa"/>
            <w:vAlign w:val="center"/>
          </w:tcPr>
          <w:p w:rsidR="00743D12" w:rsidRDefault="00C44636">
            <w:pPr>
              <w:widowControl/>
              <w:kinsoku w:val="0"/>
              <w:autoSpaceDE w:val="0"/>
              <w:autoSpaceDN w:val="0"/>
              <w:adjustRightInd w:val="0"/>
              <w:snapToGrid w:val="0"/>
              <w:spacing w:before="89" w:line="215" w:lineRule="auto"/>
              <w:ind w:left="109"/>
              <w:jc w:val="left"/>
              <w:textAlignment w:val="baseline"/>
              <w:rPr>
                <w:rFonts w:eastAsia="楷体" w:cs="楷体"/>
                <w:kern w:val="0"/>
                <w:sz w:val="24"/>
                <w:szCs w:val="24"/>
                <w:lang w:eastAsia="en-US"/>
              </w:rPr>
            </w:pPr>
            <w:r>
              <w:rPr>
                <w:rFonts w:eastAsia="楷体" w:cs="楷体"/>
                <w:spacing w:val="-1"/>
                <w:kern w:val="0"/>
                <w:sz w:val="24"/>
                <w:szCs w:val="24"/>
                <w:lang w:eastAsia="en-US"/>
              </w:rPr>
              <w:t>基金托管人名称</w:t>
            </w:r>
          </w:p>
        </w:tc>
        <w:tc>
          <w:tcPr>
            <w:tcW w:w="5957" w:type="dxa"/>
            <w:vAlign w:val="center"/>
          </w:tcPr>
          <w:p w:rsidR="00743D12" w:rsidRDefault="00C44636">
            <w:pPr>
              <w:widowControl/>
              <w:kinsoku w:val="0"/>
              <w:autoSpaceDE w:val="0"/>
              <w:autoSpaceDN w:val="0"/>
              <w:adjustRightInd w:val="0"/>
              <w:snapToGrid w:val="0"/>
              <w:spacing w:before="36" w:line="217" w:lineRule="auto"/>
              <w:ind w:left="116"/>
              <w:jc w:val="left"/>
              <w:textAlignment w:val="baseline"/>
              <w:rPr>
                <w:rFonts w:eastAsia="楷体" w:cs="楷体"/>
                <w:kern w:val="0"/>
                <w:sz w:val="24"/>
                <w:szCs w:val="24"/>
              </w:rPr>
            </w:pPr>
            <w:r>
              <w:rPr>
                <w:rFonts w:eastAsia="楷体" w:cs="楷体"/>
                <w:spacing w:val="-2"/>
                <w:kern w:val="0"/>
                <w:sz w:val="24"/>
                <w:szCs w:val="24"/>
              </w:rPr>
              <w:t>招商银行股份有限公司</w:t>
            </w:r>
          </w:p>
        </w:tc>
      </w:tr>
      <w:tr w:rsidR="00743D12">
        <w:trPr>
          <w:trHeight w:val="1877"/>
          <w:jc w:val="center"/>
        </w:trPr>
        <w:tc>
          <w:tcPr>
            <w:tcW w:w="2687" w:type="dxa"/>
            <w:vAlign w:val="center"/>
          </w:tcPr>
          <w:p w:rsidR="00743D12" w:rsidRDefault="00C44636">
            <w:pPr>
              <w:widowControl/>
              <w:kinsoku w:val="0"/>
              <w:autoSpaceDE w:val="0"/>
              <w:autoSpaceDN w:val="0"/>
              <w:adjustRightInd w:val="0"/>
              <w:snapToGrid w:val="0"/>
              <w:spacing w:before="78" w:line="222" w:lineRule="auto"/>
              <w:ind w:left="107"/>
              <w:jc w:val="left"/>
              <w:textAlignment w:val="baseline"/>
              <w:rPr>
                <w:rFonts w:eastAsia="楷体" w:cs="楷体"/>
                <w:kern w:val="0"/>
                <w:sz w:val="24"/>
                <w:szCs w:val="24"/>
                <w:lang w:eastAsia="en-US"/>
              </w:rPr>
            </w:pPr>
            <w:r>
              <w:rPr>
                <w:rFonts w:eastAsia="楷体" w:cs="楷体"/>
                <w:kern w:val="0"/>
                <w:sz w:val="24"/>
                <w:szCs w:val="24"/>
                <w:lang w:eastAsia="en-US"/>
              </w:rPr>
              <w:t>公告依据</w:t>
            </w:r>
          </w:p>
        </w:tc>
        <w:tc>
          <w:tcPr>
            <w:tcW w:w="5957" w:type="dxa"/>
            <w:vAlign w:val="center"/>
          </w:tcPr>
          <w:p w:rsidR="00743D12" w:rsidRDefault="00C44636">
            <w:pPr>
              <w:widowControl/>
              <w:kinsoku w:val="0"/>
              <w:autoSpaceDE w:val="0"/>
              <w:autoSpaceDN w:val="0"/>
              <w:adjustRightInd w:val="0"/>
              <w:snapToGrid w:val="0"/>
              <w:spacing w:before="34" w:line="235" w:lineRule="auto"/>
              <w:ind w:left="105" w:right="110" w:hanging="1"/>
              <w:textAlignment w:val="baseline"/>
              <w:rPr>
                <w:rFonts w:eastAsia="楷体" w:cs="楷体"/>
                <w:kern w:val="0"/>
                <w:sz w:val="24"/>
                <w:szCs w:val="24"/>
              </w:rPr>
            </w:pPr>
            <w:r>
              <w:rPr>
                <w:rFonts w:eastAsia="楷体" w:cs="楷体"/>
                <w:spacing w:val="-2"/>
                <w:kern w:val="0"/>
                <w:sz w:val="24"/>
                <w:szCs w:val="24"/>
              </w:rPr>
              <w:t>《中华人民共和国证券投资基金法》、《公开募集证券投资基金运作管理办法》、《公开募集基</w:t>
            </w:r>
            <w:r>
              <w:rPr>
                <w:rFonts w:eastAsia="楷体" w:cs="楷体"/>
                <w:spacing w:val="-8"/>
                <w:kern w:val="0"/>
                <w:sz w:val="24"/>
                <w:szCs w:val="24"/>
              </w:rPr>
              <w:t>础设施证券投资基金指引（试行）》</w:t>
            </w:r>
            <w:r>
              <w:rPr>
                <w:rFonts w:eastAsia="楷体" w:cs="楷体" w:hint="eastAsia"/>
                <w:spacing w:val="-1"/>
                <w:kern w:val="0"/>
                <w:sz w:val="24"/>
                <w:szCs w:val="24"/>
              </w:rPr>
              <w:t>、《深圳证券交易所公开募集基础设施证券投资基金业务指引第</w:t>
            </w:r>
            <w:r>
              <w:rPr>
                <w:rFonts w:eastAsia="楷体" w:cs="楷体" w:hint="eastAsia"/>
                <w:spacing w:val="-1"/>
                <w:kern w:val="0"/>
                <w:sz w:val="24"/>
                <w:szCs w:val="24"/>
              </w:rPr>
              <w:t>5</w:t>
            </w:r>
            <w:r>
              <w:rPr>
                <w:rFonts w:eastAsia="楷体" w:cs="楷体" w:hint="eastAsia"/>
                <w:spacing w:val="-1"/>
                <w:kern w:val="0"/>
                <w:sz w:val="24"/>
                <w:szCs w:val="24"/>
              </w:rPr>
              <w:t>号——临时报告（试行）》</w:t>
            </w:r>
            <w:r>
              <w:rPr>
                <w:rFonts w:eastAsia="楷体" w:cs="楷体"/>
                <w:spacing w:val="-8"/>
                <w:kern w:val="0"/>
                <w:sz w:val="24"/>
                <w:szCs w:val="24"/>
              </w:rPr>
              <w:t>等法律法规</w:t>
            </w:r>
            <w:r>
              <w:rPr>
                <w:rFonts w:eastAsia="楷体" w:cs="楷体"/>
                <w:spacing w:val="-3"/>
                <w:kern w:val="0"/>
                <w:sz w:val="24"/>
                <w:szCs w:val="24"/>
              </w:rPr>
              <w:t>以及《中航首钢生物质封闭式基础设施证券投资基金基金合同》、《中航首钢生物质封闭式基础</w:t>
            </w:r>
            <w:r>
              <w:rPr>
                <w:rFonts w:eastAsia="楷体" w:cs="楷体"/>
                <w:spacing w:val="-1"/>
                <w:kern w:val="0"/>
                <w:sz w:val="24"/>
                <w:szCs w:val="24"/>
              </w:rPr>
              <w:t>设施证券投资基金招募说明书》</w:t>
            </w:r>
            <w:r>
              <w:rPr>
                <w:rFonts w:eastAsia="楷体" w:cs="楷体" w:hint="eastAsia"/>
                <w:spacing w:val="-1"/>
                <w:kern w:val="0"/>
                <w:sz w:val="24"/>
                <w:szCs w:val="24"/>
              </w:rPr>
              <w:t>等</w:t>
            </w:r>
          </w:p>
        </w:tc>
      </w:tr>
    </w:tbl>
    <w:p w:rsidR="00743D12" w:rsidRDefault="00C44636">
      <w:pPr>
        <w:widowControl/>
        <w:numPr>
          <w:ilvl w:val="0"/>
          <w:numId w:val="1"/>
        </w:numPr>
        <w:spacing w:before="309" w:line="240" w:lineRule="auto"/>
        <w:jc w:val="left"/>
        <w:rPr>
          <w:rFonts w:ascii="楷体" w:eastAsia="楷体" w:hAnsi="楷体" w:cs="楷体"/>
          <w:snapToGrid w:val="0"/>
          <w:color w:val="000000"/>
          <w:spacing w:val="-1"/>
          <w:kern w:val="0"/>
          <w:sz w:val="24"/>
          <w:szCs w:val="24"/>
          <w:lang w:eastAsia="en-US"/>
        </w:rPr>
      </w:pPr>
      <w:r>
        <w:rPr>
          <w:rFonts w:ascii="楷体" w:eastAsia="楷体" w:hAnsi="楷体" w:cs="楷体"/>
          <w:snapToGrid w:val="0"/>
          <w:color w:val="000000"/>
          <w:spacing w:val="-1"/>
          <w:kern w:val="0"/>
          <w:sz w:val="24"/>
          <w:szCs w:val="24"/>
          <w:lang w:eastAsia="en-US"/>
        </w:rPr>
        <w:t>涉及的基础设施项目基本情况</w:t>
      </w:r>
    </w:p>
    <w:p w:rsidR="00743D12" w:rsidRDefault="00C44636">
      <w:pPr>
        <w:pStyle w:val="a4"/>
        <w:widowControl/>
        <w:kinsoku w:val="0"/>
        <w:autoSpaceDE w:val="0"/>
        <w:autoSpaceDN w:val="0"/>
        <w:adjustRightInd w:val="0"/>
        <w:snapToGrid w:val="0"/>
        <w:spacing w:before="33" w:line="235" w:lineRule="auto"/>
        <w:ind w:left="23" w:firstLine="456"/>
        <w:textAlignment w:val="baseline"/>
        <w:rPr>
          <w:rFonts w:ascii="Times New Roman" w:eastAsia="楷体" w:hAnsi="Times New Roman" w:cs="楷体"/>
          <w:snapToGrid w:val="0"/>
          <w:spacing w:val="-6"/>
          <w:sz w:val="24"/>
          <w:szCs w:val="24"/>
          <w:lang w:eastAsia="zh-CN"/>
        </w:rPr>
      </w:pPr>
      <w:r>
        <w:rPr>
          <w:rFonts w:ascii="Times New Roman" w:eastAsia="楷体" w:hAnsi="Times New Roman" w:cs="楷体" w:hint="eastAsia"/>
          <w:snapToGrid w:val="0"/>
          <w:color w:val="000000"/>
          <w:spacing w:val="-6"/>
          <w:sz w:val="24"/>
          <w:szCs w:val="24"/>
          <w:lang w:eastAsia="zh-CN"/>
        </w:rPr>
        <w:t>本基础设施</w:t>
      </w:r>
      <w:r>
        <w:rPr>
          <w:rFonts w:ascii="Times New Roman" w:eastAsia="楷体" w:hAnsi="Times New Roman" w:cs="楷体"/>
          <w:snapToGrid w:val="0"/>
          <w:color w:val="000000"/>
          <w:spacing w:val="-6"/>
          <w:sz w:val="24"/>
          <w:szCs w:val="24"/>
          <w:lang w:eastAsia="zh-CN"/>
        </w:rPr>
        <w:t>项目包括北京首钢生物质能源项目、北京首钢餐厨垃圾收运处一体化项目（一期）以及北京首钢鲁家山残渣暂存场项目（为生物质能源项目的配套设施）</w:t>
      </w:r>
      <w:r>
        <w:rPr>
          <w:rFonts w:ascii="Times New Roman" w:eastAsia="楷体" w:hAnsi="Times New Roman" w:cs="楷体" w:hint="eastAsia"/>
          <w:snapToGrid w:val="0"/>
          <w:color w:val="000000"/>
          <w:spacing w:val="-6"/>
          <w:sz w:val="24"/>
          <w:szCs w:val="24"/>
          <w:lang w:eastAsia="zh-CN"/>
        </w:rPr>
        <w:t>三</w:t>
      </w:r>
      <w:r>
        <w:rPr>
          <w:rFonts w:ascii="Times New Roman" w:eastAsia="楷体" w:hAnsi="Times New Roman" w:cs="楷体"/>
          <w:snapToGrid w:val="0"/>
          <w:color w:val="000000"/>
          <w:spacing w:val="-6"/>
          <w:sz w:val="24"/>
          <w:szCs w:val="24"/>
          <w:lang w:eastAsia="zh-CN"/>
        </w:rPr>
        <w:t>个子项目，</w:t>
      </w:r>
      <w:r>
        <w:rPr>
          <w:rFonts w:ascii="Times New Roman" w:eastAsia="楷体" w:hAnsi="Times New Roman" w:cs="楷体" w:hint="eastAsia"/>
          <w:snapToGrid w:val="0"/>
          <w:color w:val="000000"/>
          <w:spacing w:val="-6"/>
          <w:sz w:val="24"/>
          <w:szCs w:val="24"/>
          <w:lang w:eastAsia="zh-CN"/>
        </w:rPr>
        <w:t>此次经营情况变动涉及</w:t>
      </w:r>
      <w:r>
        <w:rPr>
          <w:rFonts w:ascii="Times New Roman" w:eastAsia="楷体" w:hAnsi="Times New Roman" w:cs="楷体" w:hint="eastAsia"/>
          <w:snapToGrid w:val="0"/>
          <w:spacing w:val="-6"/>
          <w:sz w:val="24"/>
          <w:szCs w:val="24"/>
          <w:lang w:eastAsia="zh-CN"/>
        </w:rPr>
        <w:t>的主要为</w:t>
      </w:r>
      <w:r>
        <w:rPr>
          <w:rFonts w:ascii="Times New Roman" w:eastAsia="楷体" w:hAnsi="Times New Roman" w:cs="楷体"/>
          <w:snapToGrid w:val="0"/>
          <w:spacing w:val="-6"/>
          <w:sz w:val="24"/>
          <w:szCs w:val="24"/>
          <w:lang w:eastAsia="zh-CN"/>
        </w:rPr>
        <w:t>北京首钢生物质能源项目</w:t>
      </w:r>
      <w:r>
        <w:rPr>
          <w:rFonts w:ascii="Times New Roman" w:eastAsia="楷体" w:hAnsi="Times New Roman" w:cs="楷体" w:hint="eastAsia"/>
          <w:snapToGrid w:val="0"/>
          <w:spacing w:val="-6"/>
          <w:sz w:val="24"/>
          <w:szCs w:val="24"/>
          <w:lang w:eastAsia="zh-CN"/>
        </w:rPr>
        <w:t>。</w:t>
      </w:r>
    </w:p>
    <w:tbl>
      <w:tblPr>
        <w:tblStyle w:val="TableNormal"/>
        <w:tblW w:w="8692" w:type="dxa"/>
        <w:jc w:val="center"/>
        <w:tblInd w:w="0" w:type="dxa"/>
        <w:tblLayout w:type="fixed"/>
        <w:tblLook w:val="04A0"/>
      </w:tblPr>
      <w:tblGrid>
        <w:gridCol w:w="1129"/>
        <w:gridCol w:w="1538"/>
        <w:gridCol w:w="6025"/>
      </w:tblGrid>
      <w:tr w:rsidR="00743D12">
        <w:trPr>
          <w:trHeight w:hRule="exact" w:val="636"/>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743D12" w:rsidRDefault="00C44636">
            <w:pPr>
              <w:widowControl/>
              <w:kinsoku w:val="0"/>
              <w:autoSpaceDE w:val="0"/>
              <w:autoSpaceDN w:val="0"/>
              <w:adjustRightInd w:val="0"/>
              <w:snapToGrid w:val="0"/>
              <w:spacing w:before="40" w:line="217" w:lineRule="auto"/>
              <w:ind w:left="135"/>
              <w:jc w:val="left"/>
              <w:textAlignment w:val="baseline"/>
              <w:rPr>
                <w:rFonts w:eastAsia="楷体" w:cs="楷体"/>
                <w:spacing w:val="-2"/>
                <w:kern w:val="0"/>
                <w:sz w:val="24"/>
                <w:szCs w:val="24"/>
                <w:lang w:eastAsia="en-US"/>
              </w:rPr>
            </w:pPr>
            <w:r>
              <w:rPr>
                <w:rFonts w:eastAsia="楷体" w:cs="楷体"/>
                <w:spacing w:val="-2"/>
                <w:kern w:val="0"/>
                <w:sz w:val="24"/>
                <w:szCs w:val="24"/>
                <w:lang w:eastAsia="en-US"/>
              </w:rPr>
              <w:t>基础设施</w:t>
            </w:r>
          </w:p>
          <w:p w:rsidR="00743D12" w:rsidRDefault="00C44636">
            <w:pPr>
              <w:widowControl/>
              <w:kinsoku w:val="0"/>
              <w:autoSpaceDE w:val="0"/>
              <w:autoSpaceDN w:val="0"/>
              <w:adjustRightInd w:val="0"/>
              <w:snapToGrid w:val="0"/>
              <w:spacing w:before="40" w:line="217" w:lineRule="auto"/>
              <w:ind w:left="135"/>
              <w:jc w:val="left"/>
              <w:textAlignment w:val="baseline"/>
              <w:rPr>
                <w:rFonts w:eastAsia="楷体" w:cs="楷体"/>
                <w:spacing w:val="-2"/>
                <w:kern w:val="0"/>
                <w:sz w:val="24"/>
                <w:szCs w:val="24"/>
                <w:lang w:eastAsia="en-US"/>
              </w:rPr>
            </w:pPr>
            <w:r>
              <w:rPr>
                <w:rFonts w:eastAsia="楷体" w:cs="楷体"/>
                <w:spacing w:val="-2"/>
                <w:kern w:val="0"/>
                <w:sz w:val="24"/>
                <w:szCs w:val="24"/>
                <w:lang w:eastAsia="en-US"/>
              </w:rPr>
              <w:t>项目公司</w:t>
            </w:r>
          </w:p>
        </w:tc>
        <w:tc>
          <w:tcPr>
            <w:tcW w:w="7563" w:type="dxa"/>
            <w:gridSpan w:val="2"/>
            <w:tcBorders>
              <w:top w:val="single" w:sz="4" w:space="0" w:color="000000"/>
              <w:left w:val="single" w:sz="4" w:space="0" w:color="000000"/>
              <w:bottom w:val="single" w:sz="4" w:space="0" w:color="000000"/>
              <w:right w:val="single" w:sz="4" w:space="0" w:color="000000"/>
            </w:tcBorders>
            <w:vAlign w:val="center"/>
          </w:tcPr>
          <w:p w:rsidR="00743D12" w:rsidRDefault="00C44636">
            <w:pPr>
              <w:widowControl/>
              <w:kinsoku w:val="0"/>
              <w:autoSpaceDE w:val="0"/>
              <w:autoSpaceDN w:val="0"/>
              <w:adjustRightInd w:val="0"/>
              <w:snapToGrid w:val="0"/>
              <w:spacing w:before="40" w:line="217" w:lineRule="auto"/>
              <w:ind w:left="139"/>
              <w:jc w:val="left"/>
              <w:textAlignment w:val="baseline"/>
              <w:rPr>
                <w:rFonts w:eastAsia="楷体" w:cs="楷体"/>
                <w:spacing w:val="-2"/>
                <w:kern w:val="0"/>
                <w:sz w:val="24"/>
                <w:szCs w:val="24"/>
              </w:rPr>
            </w:pPr>
            <w:r>
              <w:rPr>
                <w:rFonts w:eastAsia="楷体" w:cs="楷体" w:hint="eastAsia"/>
                <w:spacing w:val="-2"/>
                <w:kern w:val="0"/>
                <w:sz w:val="24"/>
                <w:szCs w:val="24"/>
              </w:rPr>
              <w:t>北京首钢生物质能源科技有限公司（以下简称：</w:t>
            </w:r>
            <w:r>
              <w:rPr>
                <w:rFonts w:eastAsia="楷体" w:cs="楷体" w:hint="eastAsia"/>
                <w:spacing w:val="-2"/>
                <w:kern w:val="0"/>
                <w:sz w:val="24"/>
                <w:szCs w:val="24"/>
              </w:rPr>
              <w:t>项目公司</w:t>
            </w:r>
            <w:r>
              <w:rPr>
                <w:rFonts w:eastAsia="楷体" w:cs="楷体" w:hint="eastAsia"/>
                <w:spacing w:val="-2"/>
                <w:kern w:val="0"/>
                <w:sz w:val="24"/>
                <w:szCs w:val="24"/>
              </w:rPr>
              <w:t>）</w:t>
            </w:r>
          </w:p>
        </w:tc>
      </w:tr>
      <w:tr w:rsidR="00743D12">
        <w:trPr>
          <w:trHeight w:hRule="exact" w:val="841"/>
          <w:jc w:val="center"/>
        </w:trPr>
        <w:tc>
          <w:tcPr>
            <w:tcW w:w="1129" w:type="dxa"/>
            <w:vMerge w:val="restart"/>
            <w:tcBorders>
              <w:left w:val="single" w:sz="4" w:space="0" w:color="000000"/>
              <w:right w:val="single" w:sz="4" w:space="0" w:color="000000"/>
            </w:tcBorders>
            <w:vAlign w:val="center"/>
          </w:tcPr>
          <w:p w:rsidR="00743D12" w:rsidRDefault="00C44636">
            <w:pPr>
              <w:widowControl/>
              <w:kinsoku w:val="0"/>
              <w:autoSpaceDE w:val="0"/>
              <w:autoSpaceDN w:val="0"/>
              <w:adjustRightInd w:val="0"/>
              <w:snapToGrid w:val="0"/>
              <w:spacing w:before="40" w:line="217" w:lineRule="auto"/>
              <w:ind w:left="135"/>
              <w:jc w:val="left"/>
              <w:textAlignment w:val="baseline"/>
              <w:rPr>
                <w:rFonts w:eastAsia="楷体" w:cs="楷体"/>
                <w:spacing w:val="-2"/>
                <w:kern w:val="0"/>
                <w:sz w:val="24"/>
                <w:szCs w:val="24"/>
              </w:rPr>
            </w:pPr>
            <w:r>
              <w:rPr>
                <w:rFonts w:eastAsia="楷体" w:cs="楷体" w:hint="eastAsia"/>
                <w:spacing w:val="-2"/>
                <w:kern w:val="0"/>
                <w:sz w:val="24"/>
                <w:szCs w:val="24"/>
              </w:rPr>
              <w:t>涉及的基础设施</w:t>
            </w:r>
            <w:r>
              <w:rPr>
                <w:rFonts w:eastAsia="楷体" w:cs="楷体"/>
                <w:spacing w:val="-2"/>
                <w:kern w:val="0"/>
                <w:sz w:val="24"/>
                <w:szCs w:val="24"/>
              </w:rPr>
              <w:t>项</w:t>
            </w:r>
            <w:r>
              <w:rPr>
                <w:rFonts w:eastAsia="楷体" w:cs="楷体" w:hint="eastAsia"/>
                <w:spacing w:val="-2"/>
                <w:kern w:val="0"/>
                <w:sz w:val="24"/>
                <w:szCs w:val="24"/>
              </w:rPr>
              <w:t>目概况</w:t>
            </w:r>
          </w:p>
        </w:tc>
        <w:tc>
          <w:tcPr>
            <w:tcW w:w="1538" w:type="dxa"/>
            <w:tcBorders>
              <w:top w:val="single" w:sz="4" w:space="0" w:color="000000"/>
              <w:left w:val="single" w:sz="4" w:space="0" w:color="000000"/>
              <w:bottom w:val="single" w:sz="4" w:space="0" w:color="000000"/>
              <w:right w:val="single" w:sz="4" w:space="0" w:color="000000"/>
            </w:tcBorders>
            <w:vAlign w:val="center"/>
          </w:tcPr>
          <w:p w:rsidR="00743D12" w:rsidRDefault="00C44636">
            <w:pPr>
              <w:widowControl/>
              <w:kinsoku w:val="0"/>
              <w:autoSpaceDE w:val="0"/>
              <w:autoSpaceDN w:val="0"/>
              <w:adjustRightInd w:val="0"/>
              <w:snapToGrid w:val="0"/>
              <w:spacing w:before="40" w:line="217" w:lineRule="auto"/>
              <w:ind w:left="139"/>
              <w:jc w:val="left"/>
              <w:textAlignment w:val="baseline"/>
              <w:rPr>
                <w:rFonts w:eastAsia="楷体" w:cs="楷体"/>
                <w:spacing w:val="-2"/>
                <w:kern w:val="0"/>
                <w:sz w:val="24"/>
                <w:szCs w:val="24"/>
                <w:lang w:eastAsia="en-US"/>
              </w:rPr>
            </w:pPr>
            <w:r>
              <w:rPr>
                <w:rFonts w:eastAsia="楷体" w:cs="楷体"/>
                <w:spacing w:val="-2"/>
                <w:kern w:val="0"/>
                <w:sz w:val="24"/>
                <w:szCs w:val="24"/>
                <w:lang w:eastAsia="en-US"/>
              </w:rPr>
              <w:t>项目（资产）名称</w:t>
            </w:r>
          </w:p>
        </w:tc>
        <w:tc>
          <w:tcPr>
            <w:tcW w:w="6025" w:type="dxa"/>
            <w:tcBorders>
              <w:top w:val="single" w:sz="4" w:space="0" w:color="000000"/>
              <w:left w:val="single" w:sz="4" w:space="0" w:color="000000"/>
              <w:bottom w:val="single" w:sz="4" w:space="0" w:color="000000"/>
              <w:right w:val="single" w:sz="4" w:space="0" w:color="000000"/>
            </w:tcBorders>
            <w:vAlign w:val="center"/>
          </w:tcPr>
          <w:p w:rsidR="00743D12" w:rsidRDefault="00C44636">
            <w:pPr>
              <w:widowControl/>
              <w:kinsoku w:val="0"/>
              <w:autoSpaceDE w:val="0"/>
              <w:autoSpaceDN w:val="0"/>
              <w:adjustRightInd w:val="0"/>
              <w:snapToGrid w:val="0"/>
              <w:spacing w:before="40" w:line="217" w:lineRule="auto"/>
              <w:ind w:left="139"/>
              <w:jc w:val="left"/>
              <w:textAlignment w:val="baseline"/>
              <w:rPr>
                <w:rFonts w:eastAsia="楷体" w:cs="楷体"/>
                <w:spacing w:val="-2"/>
                <w:kern w:val="0"/>
                <w:sz w:val="24"/>
                <w:szCs w:val="24"/>
              </w:rPr>
            </w:pPr>
            <w:r>
              <w:rPr>
                <w:rFonts w:eastAsia="楷体" w:cs="楷体" w:hint="eastAsia"/>
                <w:spacing w:val="-2"/>
                <w:kern w:val="0"/>
                <w:sz w:val="24"/>
                <w:szCs w:val="24"/>
              </w:rPr>
              <w:t>北京首钢生物质能源项目（以下简称：本项目）</w:t>
            </w:r>
          </w:p>
        </w:tc>
      </w:tr>
      <w:tr w:rsidR="00743D12">
        <w:trPr>
          <w:trHeight w:hRule="exact" w:val="444"/>
          <w:jc w:val="center"/>
        </w:trPr>
        <w:tc>
          <w:tcPr>
            <w:tcW w:w="1129" w:type="dxa"/>
            <w:vMerge/>
            <w:tcBorders>
              <w:left w:val="single" w:sz="4" w:space="0" w:color="000000"/>
              <w:right w:val="single" w:sz="4" w:space="0" w:color="000000"/>
            </w:tcBorders>
          </w:tcPr>
          <w:p w:rsidR="00743D12" w:rsidRDefault="00743D12">
            <w:pPr>
              <w:widowControl/>
              <w:kinsoku w:val="0"/>
              <w:autoSpaceDE w:val="0"/>
              <w:autoSpaceDN w:val="0"/>
              <w:adjustRightInd w:val="0"/>
              <w:snapToGrid w:val="0"/>
              <w:spacing w:before="40" w:line="217" w:lineRule="auto"/>
              <w:ind w:left="135"/>
              <w:jc w:val="left"/>
              <w:textAlignment w:val="baseline"/>
              <w:rPr>
                <w:rFonts w:eastAsia="楷体" w:cs="楷体"/>
                <w:spacing w:val="-2"/>
                <w:kern w:val="0"/>
                <w:sz w:val="24"/>
                <w:szCs w:val="24"/>
              </w:rPr>
            </w:pPr>
          </w:p>
        </w:tc>
        <w:tc>
          <w:tcPr>
            <w:tcW w:w="1538" w:type="dxa"/>
            <w:tcBorders>
              <w:top w:val="single" w:sz="4" w:space="0" w:color="000000"/>
              <w:left w:val="single" w:sz="4" w:space="0" w:color="000000"/>
              <w:bottom w:val="single" w:sz="4" w:space="0" w:color="000000"/>
              <w:right w:val="single" w:sz="4" w:space="0" w:color="000000"/>
            </w:tcBorders>
            <w:vAlign w:val="center"/>
          </w:tcPr>
          <w:p w:rsidR="00743D12" w:rsidRDefault="00C44636">
            <w:pPr>
              <w:widowControl/>
              <w:kinsoku w:val="0"/>
              <w:autoSpaceDE w:val="0"/>
              <w:autoSpaceDN w:val="0"/>
              <w:adjustRightInd w:val="0"/>
              <w:snapToGrid w:val="0"/>
              <w:spacing w:before="40" w:line="217" w:lineRule="auto"/>
              <w:ind w:left="139"/>
              <w:jc w:val="left"/>
              <w:textAlignment w:val="baseline"/>
              <w:rPr>
                <w:rFonts w:eastAsia="楷体" w:cs="楷体"/>
                <w:spacing w:val="-2"/>
                <w:kern w:val="0"/>
                <w:sz w:val="24"/>
                <w:szCs w:val="24"/>
                <w:lang w:eastAsia="en-US"/>
              </w:rPr>
            </w:pPr>
            <w:r>
              <w:rPr>
                <w:rFonts w:eastAsia="楷体" w:cs="楷体"/>
                <w:spacing w:val="-2"/>
                <w:kern w:val="0"/>
                <w:sz w:val="24"/>
                <w:szCs w:val="24"/>
                <w:lang w:eastAsia="en-US"/>
              </w:rPr>
              <w:t>所在地</w:t>
            </w:r>
          </w:p>
        </w:tc>
        <w:tc>
          <w:tcPr>
            <w:tcW w:w="6025" w:type="dxa"/>
            <w:tcBorders>
              <w:top w:val="single" w:sz="4" w:space="0" w:color="000000"/>
              <w:left w:val="single" w:sz="4" w:space="0" w:color="000000"/>
              <w:bottom w:val="single" w:sz="4" w:space="0" w:color="000000"/>
              <w:right w:val="single" w:sz="4" w:space="0" w:color="000000"/>
            </w:tcBorders>
            <w:vAlign w:val="center"/>
          </w:tcPr>
          <w:p w:rsidR="00743D12" w:rsidRDefault="00C44636">
            <w:pPr>
              <w:widowControl/>
              <w:kinsoku w:val="0"/>
              <w:autoSpaceDE w:val="0"/>
              <w:autoSpaceDN w:val="0"/>
              <w:adjustRightInd w:val="0"/>
              <w:snapToGrid w:val="0"/>
              <w:spacing w:before="40" w:line="217" w:lineRule="auto"/>
              <w:ind w:left="139"/>
              <w:jc w:val="left"/>
              <w:textAlignment w:val="baseline"/>
              <w:rPr>
                <w:rFonts w:eastAsia="楷体" w:cs="楷体"/>
                <w:spacing w:val="-2"/>
                <w:kern w:val="0"/>
                <w:sz w:val="24"/>
                <w:szCs w:val="24"/>
              </w:rPr>
            </w:pPr>
            <w:r>
              <w:rPr>
                <w:rFonts w:eastAsia="楷体" w:cs="楷体" w:hint="eastAsia"/>
                <w:spacing w:val="-2"/>
                <w:kern w:val="0"/>
                <w:sz w:val="24"/>
                <w:szCs w:val="24"/>
              </w:rPr>
              <w:t>北京市门头沟区鲁家山首钢鲁矿南区</w:t>
            </w:r>
          </w:p>
        </w:tc>
      </w:tr>
      <w:tr w:rsidR="00743D12">
        <w:trPr>
          <w:trHeight w:hRule="exact" w:val="432"/>
          <w:jc w:val="center"/>
        </w:trPr>
        <w:tc>
          <w:tcPr>
            <w:tcW w:w="1129" w:type="dxa"/>
            <w:vMerge/>
            <w:tcBorders>
              <w:left w:val="single" w:sz="4" w:space="0" w:color="000000"/>
              <w:right w:val="single" w:sz="4" w:space="0" w:color="000000"/>
            </w:tcBorders>
          </w:tcPr>
          <w:p w:rsidR="00743D12" w:rsidRDefault="00743D12">
            <w:pPr>
              <w:widowControl/>
              <w:kinsoku w:val="0"/>
              <w:autoSpaceDE w:val="0"/>
              <w:autoSpaceDN w:val="0"/>
              <w:adjustRightInd w:val="0"/>
              <w:snapToGrid w:val="0"/>
              <w:spacing w:before="40" w:line="217" w:lineRule="auto"/>
              <w:ind w:left="135"/>
              <w:jc w:val="left"/>
              <w:textAlignment w:val="baseline"/>
              <w:rPr>
                <w:rFonts w:eastAsia="楷体" w:cs="楷体"/>
                <w:spacing w:val="-2"/>
                <w:kern w:val="0"/>
                <w:sz w:val="24"/>
                <w:szCs w:val="24"/>
              </w:rPr>
            </w:pPr>
          </w:p>
        </w:tc>
        <w:tc>
          <w:tcPr>
            <w:tcW w:w="1538" w:type="dxa"/>
            <w:tcBorders>
              <w:top w:val="single" w:sz="4" w:space="0" w:color="000000"/>
              <w:left w:val="single" w:sz="4" w:space="0" w:color="000000"/>
              <w:bottom w:val="single" w:sz="4" w:space="0" w:color="000000"/>
              <w:right w:val="single" w:sz="4" w:space="0" w:color="000000"/>
            </w:tcBorders>
            <w:vAlign w:val="center"/>
          </w:tcPr>
          <w:p w:rsidR="00743D12" w:rsidRDefault="00C44636">
            <w:pPr>
              <w:widowControl/>
              <w:kinsoku w:val="0"/>
              <w:autoSpaceDE w:val="0"/>
              <w:autoSpaceDN w:val="0"/>
              <w:adjustRightInd w:val="0"/>
              <w:snapToGrid w:val="0"/>
              <w:spacing w:before="40" w:line="217" w:lineRule="auto"/>
              <w:ind w:left="139"/>
              <w:jc w:val="left"/>
              <w:textAlignment w:val="baseline"/>
              <w:rPr>
                <w:rFonts w:eastAsia="楷体" w:cs="楷体"/>
                <w:spacing w:val="-2"/>
                <w:kern w:val="0"/>
                <w:sz w:val="24"/>
                <w:szCs w:val="24"/>
                <w:lang w:eastAsia="en-US"/>
              </w:rPr>
            </w:pPr>
            <w:r>
              <w:rPr>
                <w:rFonts w:eastAsia="楷体" w:cs="楷体" w:hint="eastAsia"/>
                <w:spacing w:val="-2"/>
                <w:kern w:val="0"/>
                <w:sz w:val="24"/>
                <w:szCs w:val="24"/>
                <w:lang w:eastAsia="en-US"/>
              </w:rPr>
              <w:t>项目类型</w:t>
            </w:r>
          </w:p>
        </w:tc>
        <w:tc>
          <w:tcPr>
            <w:tcW w:w="6025" w:type="dxa"/>
            <w:tcBorders>
              <w:top w:val="single" w:sz="4" w:space="0" w:color="000000"/>
              <w:left w:val="single" w:sz="4" w:space="0" w:color="000000"/>
              <w:bottom w:val="single" w:sz="4" w:space="0" w:color="000000"/>
              <w:right w:val="single" w:sz="4" w:space="0" w:color="000000"/>
            </w:tcBorders>
            <w:vAlign w:val="center"/>
          </w:tcPr>
          <w:p w:rsidR="00743D12" w:rsidRDefault="00C44636">
            <w:pPr>
              <w:widowControl/>
              <w:kinsoku w:val="0"/>
              <w:autoSpaceDE w:val="0"/>
              <w:autoSpaceDN w:val="0"/>
              <w:adjustRightInd w:val="0"/>
              <w:snapToGrid w:val="0"/>
              <w:spacing w:before="40" w:line="217" w:lineRule="auto"/>
              <w:ind w:left="139"/>
              <w:jc w:val="left"/>
              <w:textAlignment w:val="baseline"/>
              <w:rPr>
                <w:rFonts w:eastAsia="楷体" w:cs="楷体"/>
                <w:spacing w:val="-2"/>
                <w:kern w:val="0"/>
                <w:sz w:val="24"/>
                <w:szCs w:val="24"/>
              </w:rPr>
            </w:pPr>
            <w:r>
              <w:rPr>
                <w:rFonts w:eastAsia="楷体" w:cs="楷体" w:hint="eastAsia"/>
                <w:spacing w:val="-2"/>
                <w:kern w:val="0"/>
                <w:sz w:val="24"/>
                <w:szCs w:val="24"/>
              </w:rPr>
              <w:t>垃圾处理及生物质发电</w:t>
            </w:r>
          </w:p>
        </w:tc>
      </w:tr>
      <w:tr w:rsidR="00743D12">
        <w:trPr>
          <w:trHeight w:hRule="exact" w:val="420"/>
          <w:jc w:val="center"/>
        </w:trPr>
        <w:tc>
          <w:tcPr>
            <w:tcW w:w="2667" w:type="dxa"/>
            <w:gridSpan w:val="2"/>
            <w:tcBorders>
              <w:top w:val="single" w:sz="4" w:space="0" w:color="000000"/>
              <w:left w:val="single" w:sz="4" w:space="0" w:color="000000"/>
              <w:bottom w:val="single" w:sz="4" w:space="0" w:color="000000"/>
              <w:right w:val="single" w:sz="4" w:space="0" w:color="000000"/>
            </w:tcBorders>
            <w:vAlign w:val="center"/>
          </w:tcPr>
          <w:p w:rsidR="00743D12" w:rsidRDefault="00C44636">
            <w:pPr>
              <w:widowControl/>
              <w:kinsoku w:val="0"/>
              <w:autoSpaceDE w:val="0"/>
              <w:autoSpaceDN w:val="0"/>
              <w:adjustRightInd w:val="0"/>
              <w:snapToGrid w:val="0"/>
              <w:spacing w:before="40" w:line="217" w:lineRule="auto"/>
              <w:ind w:left="139"/>
              <w:jc w:val="left"/>
              <w:textAlignment w:val="baseline"/>
              <w:rPr>
                <w:rFonts w:eastAsia="楷体" w:cs="楷体"/>
                <w:spacing w:val="-2"/>
                <w:kern w:val="0"/>
                <w:sz w:val="24"/>
                <w:szCs w:val="24"/>
              </w:rPr>
            </w:pPr>
            <w:r>
              <w:rPr>
                <w:rFonts w:eastAsia="楷体" w:cs="楷体"/>
                <w:spacing w:val="-2"/>
                <w:kern w:val="0"/>
                <w:sz w:val="24"/>
                <w:szCs w:val="24"/>
              </w:rPr>
              <w:lastRenderedPageBreak/>
              <w:t>外部运营管理机构名称</w:t>
            </w:r>
          </w:p>
        </w:tc>
        <w:tc>
          <w:tcPr>
            <w:tcW w:w="6025" w:type="dxa"/>
            <w:tcBorders>
              <w:top w:val="single" w:sz="4" w:space="0" w:color="000000"/>
              <w:left w:val="single" w:sz="4" w:space="0" w:color="000000"/>
              <w:bottom w:val="single" w:sz="4" w:space="0" w:color="000000"/>
              <w:right w:val="single" w:sz="4" w:space="0" w:color="000000"/>
            </w:tcBorders>
            <w:vAlign w:val="center"/>
          </w:tcPr>
          <w:p w:rsidR="00743D12" w:rsidRDefault="00C44636">
            <w:pPr>
              <w:widowControl/>
              <w:kinsoku w:val="0"/>
              <w:autoSpaceDE w:val="0"/>
              <w:autoSpaceDN w:val="0"/>
              <w:adjustRightInd w:val="0"/>
              <w:snapToGrid w:val="0"/>
              <w:spacing w:before="40" w:line="217" w:lineRule="auto"/>
              <w:ind w:left="139"/>
              <w:jc w:val="left"/>
              <w:textAlignment w:val="baseline"/>
              <w:rPr>
                <w:rFonts w:eastAsia="楷体" w:cs="楷体"/>
                <w:spacing w:val="-2"/>
                <w:kern w:val="0"/>
                <w:sz w:val="24"/>
                <w:szCs w:val="24"/>
              </w:rPr>
            </w:pPr>
            <w:r>
              <w:rPr>
                <w:rFonts w:eastAsia="楷体" w:cs="楷体" w:hint="eastAsia"/>
                <w:spacing w:val="-2"/>
                <w:kern w:val="0"/>
                <w:sz w:val="24"/>
                <w:szCs w:val="24"/>
              </w:rPr>
              <w:t>北京首钢生态科技有限公司（以下简称：</w:t>
            </w:r>
            <w:r>
              <w:rPr>
                <w:rFonts w:eastAsia="楷体" w:cs="楷体" w:hint="eastAsia"/>
                <w:spacing w:val="-6"/>
                <w:sz w:val="24"/>
                <w:szCs w:val="24"/>
              </w:rPr>
              <w:t>运营管理机构</w:t>
            </w:r>
            <w:r>
              <w:rPr>
                <w:rFonts w:eastAsia="楷体" w:cs="楷体" w:hint="eastAsia"/>
                <w:spacing w:val="-2"/>
                <w:kern w:val="0"/>
                <w:sz w:val="24"/>
                <w:szCs w:val="24"/>
              </w:rPr>
              <w:t>）</w:t>
            </w:r>
          </w:p>
        </w:tc>
      </w:tr>
    </w:tbl>
    <w:p w:rsidR="00743D12" w:rsidRDefault="00C44636">
      <w:pPr>
        <w:widowControl/>
        <w:numPr>
          <w:ilvl w:val="0"/>
          <w:numId w:val="1"/>
        </w:numPr>
        <w:spacing w:before="309" w:line="240" w:lineRule="auto"/>
        <w:jc w:val="left"/>
        <w:rPr>
          <w:rFonts w:ascii="楷体" w:eastAsia="楷体" w:hAnsi="楷体" w:cs="楷体"/>
          <w:snapToGrid w:val="0"/>
          <w:color w:val="000000"/>
          <w:spacing w:val="-1"/>
          <w:kern w:val="0"/>
          <w:sz w:val="24"/>
          <w:szCs w:val="24"/>
          <w:lang w:eastAsia="en-US"/>
        </w:rPr>
      </w:pPr>
      <w:r>
        <w:rPr>
          <w:rFonts w:ascii="楷体" w:eastAsia="楷体" w:hAnsi="楷体" w:cs="楷体"/>
          <w:snapToGrid w:val="0"/>
          <w:color w:val="000000"/>
          <w:spacing w:val="-1"/>
          <w:kern w:val="0"/>
          <w:sz w:val="24"/>
          <w:szCs w:val="24"/>
          <w:lang w:eastAsia="en-US"/>
        </w:rPr>
        <w:t>基础设施项目</w:t>
      </w:r>
      <w:r>
        <w:rPr>
          <w:rFonts w:ascii="楷体" w:eastAsia="楷体" w:hAnsi="楷体" w:cs="楷体"/>
          <w:snapToGrid w:val="0"/>
          <w:color w:val="000000"/>
          <w:spacing w:val="-1"/>
          <w:kern w:val="0"/>
          <w:sz w:val="24"/>
          <w:szCs w:val="24"/>
          <w:lang w:eastAsia="en-US"/>
        </w:rPr>
        <w:t>机组检修</w:t>
      </w:r>
      <w:r>
        <w:rPr>
          <w:rFonts w:ascii="楷体" w:eastAsia="楷体" w:hAnsi="楷体" w:cs="楷体" w:hint="eastAsia"/>
          <w:snapToGrid w:val="0"/>
          <w:color w:val="000000"/>
          <w:spacing w:val="-1"/>
          <w:kern w:val="0"/>
          <w:sz w:val="24"/>
          <w:szCs w:val="24"/>
        </w:rPr>
        <w:t>进展及成效</w:t>
      </w:r>
    </w:p>
    <w:p w:rsidR="00743D12" w:rsidRDefault="00C44636">
      <w:pPr>
        <w:pStyle w:val="a4"/>
        <w:widowControl/>
        <w:kinsoku w:val="0"/>
        <w:autoSpaceDE w:val="0"/>
        <w:autoSpaceDN w:val="0"/>
        <w:adjustRightInd w:val="0"/>
        <w:snapToGrid w:val="0"/>
        <w:spacing w:before="33" w:line="235" w:lineRule="auto"/>
        <w:ind w:left="23" w:firstLine="456"/>
        <w:textAlignment w:val="baseline"/>
        <w:rPr>
          <w:rFonts w:ascii="Times New Roman" w:eastAsia="楷体" w:hAnsi="Times New Roman" w:cs="楷体"/>
          <w:snapToGrid w:val="0"/>
          <w:color w:val="000000"/>
          <w:spacing w:val="-6"/>
          <w:sz w:val="24"/>
          <w:szCs w:val="24"/>
          <w:lang w:eastAsia="zh-CN"/>
        </w:rPr>
      </w:pPr>
      <w:r>
        <w:rPr>
          <w:rFonts w:ascii="Times New Roman" w:eastAsia="楷体" w:hAnsi="Times New Roman" w:cs="楷体" w:hint="eastAsia"/>
          <w:snapToGrid w:val="0"/>
          <w:color w:val="000000"/>
          <w:spacing w:val="-6"/>
          <w:sz w:val="24"/>
          <w:szCs w:val="24"/>
          <w:lang w:eastAsia="zh-CN"/>
        </w:rPr>
        <w:t>202</w:t>
      </w:r>
      <w:r>
        <w:rPr>
          <w:rFonts w:ascii="Times New Roman" w:eastAsia="楷体" w:hAnsi="Times New Roman" w:cs="楷体" w:hint="eastAsia"/>
          <w:snapToGrid w:val="0"/>
          <w:color w:val="000000"/>
          <w:spacing w:val="-6"/>
          <w:sz w:val="24"/>
          <w:szCs w:val="24"/>
          <w:lang w:eastAsia="zh-CN"/>
        </w:rPr>
        <w:t>4</w:t>
      </w:r>
      <w:r>
        <w:rPr>
          <w:rFonts w:ascii="Times New Roman" w:eastAsia="楷体" w:hAnsi="Times New Roman" w:cs="楷体" w:hint="eastAsia"/>
          <w:snapToGrid w:val="0"/>
          <w:color w:val="000000"/>
          <w:spacing w:val="-6"/>
          <w:sz w:val="24"/>
          <w:szCs w:val="24"/>
          <w:lang w:eastAsia="zh-CN"/>
        </w:rPr>
        <w:t>年</w:t>
      </w:r>
      <w:r>
        <w:rPr>
          <w:rFonts w:ascii="Times New Roman" w:eastAsia="楷体" w:hAnsi="Times New Roman" w:cs="楷体" w:hint="eastAsia"/>
          <w:snapToGrid w:val="0"/>
          <w:color w:val="000000"/>
          <w:spacing w:val="-6"/>
          <w:sz w:val="24"/>
          <w:szCs w:val="24"/>
          <w:lang w:eastAsia="zh-CN"/>
        </w:rPr>
        <w:t>4</w:t>
      </w:r>
      <w:r>
        <w:rPr>
          <w:rFonts w:ascii="Times New Roman" w:eastAsia="楷体" w:hAnsi="Times New Roman" w:cs="楷体" w:hint="eastAsia"/>
          <w:snapToGrid w:val="0"/>
          <w:color w:val="000000"/>
          <w:spacing w:val="-6"/>
          <w:sz w:val="24"/>
          <w:szCs w:val="24"/>
          <w:lang w:eastAsia="zh-CN"/>
        </w:rPr>
        <w:t>月</w:t>
      </w:r>
      <w:r>
        <w:rPr>
          <w:rFonts w:ascii="Times New Roman" w:eastAsia="楷体" w:hAnsi="Times New Roman" w:cs="楷体" w:hint="eastAsia"/>
          <w:snapToGrid w:val="0"/>
          <w:color w:val="000000"/>
          <w:spacing w:val="-6"/>
          <w:sz w:val="24"/>
          <w:szCs w:val="24"/>
          <w:lang w:eastAsia="zh-CN"/>
        </w:rPr>
        <w:t>4</w:t>
      </w:r>
      <w:r>
        <w:rPr>
          <w:rFonts w:ascii="Times New Roman" w:eastAsia="楷体" w:hAnsi="Times New Roman" w:cs="楷体" w:hint="eastAsia"/>
          <w:snapToGrid w:val="0"/>
          <w:color w:val="000000"/>
          <w:spacing w:val="-6"/>
          <w:sz w:val="24"/>
          <w:szCs w:val="24"/>
          <w:lang w:eastAsia="zh-CN"/>
        </w:rPr>
        <w:t>日，本基金发布《中航基金管理有限公司关于中航首钢生物质封闭式基础设施证券投资基金底层项目公司</w:t>
      </w:r>
      <w:r>
        <w:rPr>
          <w:rFonts w:ascii="Times New Roman" w:eastAsia="楷体" w:hAnsi="Times New Roman" w:cs="楷体" w:hint="eastAsia"/>
          <w:snapToGrid w:val="0"/>
          <w:color w:val="000000"/>
          <w:spacing w:val="-6"/>
          <w:sz w:val="24"/>
          <w:szCs w:val="24"/>
          <w:lang w:eastAsia="zh-CN"/>
        </w:rPr>
        <w:t>2024</w:t>
      </w:r>
      <w:r>
        <w:rPr>
          <w:rFonts w:ascii="Times New Roman" w:eastAsia="楷体" w:hAnsi="Times New Roman" w:cs="楷体" w:hint="eastAsia"/>
          <w:snapToGrid w:val="0"/>
          <w:color w:val="000000"/>
          <w:spacing w:val="-6"/>
          <w:sz w:val="24"/>
          <w:szCs w:val="24"/>
          <w:lang w:eastAsia="zh-CN"/>
        </w:rPr>
        <w:t>年第</w:t>
      </w:r>
      <w:r>
        <w:rPr>
          <w:rFonts w:ascii="Times New Roman" w:eastAsia="楷体" w:hAnsi="Times New Roman" w:cs="楷体" w:hint="eastAsia"/>
          <w:snapToGrid w:val="0"/>
          <w:color w:val="000000"/>
          <w:spacing w:val="-6"/>
          <w:sz w:val="24"/>
          <w:szCs w:val="24"/>
          <w:lang w:eastAsia="zh-CN"/>
        </w:rPr>
        <w:t>1</w:t>
      </w:r>
      <w:r>
        <w:rPr>
          <w:rFonts w:ascii="Times New Roman" w:eastAsia="楷体" w:hAnsi="Times New Roman" w:cs="楷体" w:hint="eastAsia"/>
          <w:snapToGrid w:val="0"/>
          <w:color w:val="000000"/>
          <w:spacing w:val="-6"/>
          <w:sz w:val="24"/>
          <w:szCs w:val="24"/>
          <w:lang w:eastAsia="zh-CN"/>
        </w:rPr>
        <w:t>季度经营情况</w:t>
      </w:r>
      <w:r>
        <w:rPr>
          <w:rFonts w:ascii="Times New Roman" w:eastAsia="楷体" w:hAnsi="Times New Roman" w:cs="楷体" w:hint="eastAsia"/>
          <w:snapToGrid w:val="0"/>
          <w:color w:val="000000"/>
          <w:spacing w:val="-6"/>
          <w:sz w:val="24"/>
          <w:szCs w:val="24"/>
          <w:lang w:eastAsia="zh-CN"/>
        </w:rPr>
        <w:t>的临时公告》，</w:t>
      </w:r>
      <w:r>
        <w:rPr>
          <w:rFonts w:ascii="Times New Roman" w:eastAsia="楷体" w:hAnsi="Times New Roman" w:cs="楷体" w:hint="eastAsia"/>
          <w:snapToGrid w:val="0"/>
          <w:color w:val="000000"/>
          <w:spacing w:val="-6"/>
          <w:sz w:val="24"/>
          <w:szCs w:val="24"/>
          <w:lang w:eastAsia="zh-CN"/>
        </w:rPr>
        <w:t>本项目</w:t>
      </w:r>
      <w:r>
        <w:rPr>
          <w:rFonts w:ascii="Times New Roman" w:eastAsia="楷体" w:hAnsi="Times New Roman" w:cs="楷体" w:hint="eastAsia"/>
          <w:snapToGrid w:val="0"/>
          <w:color w:val="000000"/>
          <w:spacing w:val="-6"/>
          <w:sz w:val="24"/>
          <w:szCs w:val="24"/>
          <w:lang w:eastAsia="zh-CN"/>
        </w:rPr>
        <w:t>1#</w:t>
      </w:r>
      <w:r>
        <w:rPr>
          <w:rFonts w:ascii="Times New Roman" w:eastAsia="楷体" w:hAnsi="Times New Roman" w:cs="楷体" w:hint="eastAsia"/>
          <w:snapToGrid w:val="0"/>
          <w:color w:val="000000"/>
          <w:spacing w:val="-6"/>
          <w:sz w:val="24"/>
          <w:szCs w:val="24"/>
          <w:lang w:eastAsia="zh-CN"/>
        </w:rPr>
        <w:t>发电机返厂检修。目前</w:t>
      </w:r>
      <w:r>
        <w:rPr>
          <w:rFonts w:ascii="Times New Roman" w:eastAsia="楷体" w:hAnsi="Times New Roman" w:cs="楷体" w:hint="eastAsia"/>
          <w:snapToGrid w:val="0"/>
          <w:color w:val="000000"/>
          <w:spacing w:val="-6"/>
          <w:sz w:val="24"/>
          <w:szCs w:val="24"/>
          <w:lang w:eastAsia="zh-CN"/>
        </w:rPr>
        <w:t>1#</w:t>
      </w:r>
      <w:r>
        <w:rPr>
          <w:rFonts w:ascii="Times New Roman" w:eastAsia="楷体" w:hAnsi="Times New Roman" w:cs="楷体" w:hint="eastAsia"/>
          <w:snapToGrid w:val="0"/>
          <w:color w:val="000000"/>
          <w:spacing w:val="-6"/>
          <w:sz w:val="24"/>
          <w:szCs w:val="24"/>
          <w:lang w:eastAsia="zh-CN"/>
        </w:rPr>
        <w:t>发电机</w:t>
      </w:r>
      <w:r>
        <w:rPr>
          <w:rFonts w:ascii="Times New Roman" w:eastAsia="楷体" w:hAnsi="Times New Roman" w:cs="楷体" w:hint="eastAsia"/>
          <w:snapToGrid w:val="0"/>
          <w:color w:val="000000"/>
          <w:spacing w:val="-6"/>
          <w:sz w:val="24"/>
          <w:szCs w:val="24"/>
          <w:lang w:eastAsia="zh-CN"/>
        </w:rPr>
        <w:t>已完成检修工作，重新并网运行</w:t>
      </w:r>
      <w:r>
        <w:rPr>
          <w:rFonts w:ascii="Times New Roman" w:eastAsia="楷体" w:hAnsi="Times New Roman" w:cs="楷体" w:hint="eastAsia"/>
          <w:snapToGrid w:val="0"/>
          <w:color w:val="000000"/>
          <w:spacing w:val="-6"/>
          <w:sz w:val="24"/>
          <w:szCs w:val="24"/>
          <w:lang w:eastAsia="zh-CN"/>
        </w:rPr>
        <w:t>。</w:t>
      </w:r>
      <w:r>
        <w:rPr>
          <w:rFonts w:ascii="Times New Roman" w:eastAsia="楷体" w:hAnsi="Times New Roman" w:cs="楷体" w:hint="eastAsia"/>
          <w:snapToGrid w:val="0"/>
          <w:color w:val="000000"/>
          <w:spacing w:val="-6"/>
          <w:sz w:val="24"/>
          <w:szCs w:val="24"/>
          <w:lang w:eastAsia="zh-CN"/>
        </w:rPr>
        <w:t>具体情况如下：</w:t>
      </w:r>
    </w:p>
    <w:p w:rsidR="00743D12" w:rsidRDefault="00C44636">
      <w:pPr>
        <w:pStyle w:val="a4"/>
        <w:widowControl/>
        <w:kinsoku w:val="0"/>
        <w:autoSpaceDE w:val="0"/>
        <w:autoSpaceDN w:val="0"/>
        <w:adjustRightInd w:val="0"/>
        <w:snapToGrid w:val="0"/>
        <w:spacing w:before="33" w:line="235" w:lineRule="auto"/>
        <w:ind w:left="23" w:firstLine="456"/>
        <w:textAlignment w:val="baseline"/>
        <w:rPr>
          <w:rFonts w:ascii="Times New Roman" w:eastAsia="楷体" w:hAnsi="Times New Roman" w:cs="楷体"/>
          <w:snapToGrid w:val="0"/>
          <w:color w:val="000000"/>
          <w:spacing w:val="-6"/>
          <w:sz w:val="24"/>
          <w:szCs w:val="24"/>
          <w:lang w:eastAsia="zh-CN"/>
        </w:rPr>
      </w:pPr>
      <w:r>
        <w:rPr>
          <w:rFonts w:ascii="Times New Roman" w:eastAsia="楷体" w:hAnsi="Times New Roman" w:cs="楷体" w:hint="eastAsia"/>
          <w:snapToGrid w:val="0"/>
          <w:color w:val="000000"/>
          <w:spacing w:val="-6"/>
          <w:sz w:val="24"/>
          <w:szCs w:val="24"/>
          <w:lang w:eastAsia="zh-CN"/>
        </w:rPr>
        <w:t>2024</w:t>
      </w:r>
      <w:r>
        <w:rPr>
          <w:rFonts w:ascii="Times New Roman" w:eastAsia="楷体" w:hAnsi="Times New Roman" w:cs="楷体" w:hint="eastAsia"/>
          <w:snapToGrid w:val="0"/>
          <w:color w:val="000000"/>
          <w:spacing w:val="-6"/>
          <w:sz w:val="24"/>
          <w:szCs w:val="24"/>
          <w:lang w:eastAsia="zh-CN"/>
        </w:rPr>
        <w:t>年</w:t>
      </w:r>
      <w:r>
        <w:rPr>
          <w:rFonts w:ascii="Times New Roman" w:eastAsia="楷体" w:hAnsi="Times New Roman" w:cs="楷体" w:hint="eastAsia"/>
          <w:snapToGrid w:val="0"/>
          <w:color w:val="000000"/>
          <w:spacing w:val="-6"/>
          <w:sz w:val="24"/>
          <w:szCs w:val="24"/>
          <w:lang w:eastAsia="zh-CN"/>
        </w:rPr>
        <w:t>4</w:t>
      </w:r>
      <w:r>
        <w:rPr>
          <w:rFonts w:ascii="Times New Roman" w:eastAsia="楷体" w:hAnsi="Times New Roman" w:cs="楷体" w:hint="eastAsia"/>
          <w:snapToGrid w:val="0"/>
          <w:color w:val="000000"/>
          <w:spacing w:val="-6"/>
          <w:sz w:val="24"/>
          <w:szCs w:val="24"/>
          <w:lang w:eastAsia="zh-CN"/>
        </w:rPr>
        <w:t>月</w:t>
      </w:r>
      <w:r>
        <w:rPr>
          <w:rFonts w:ascii="Times New Roman" w:eastAsia="楷体" w:hAnsi="Times New Roman" w:cs="楷体" w:hint="eastAsia"/>
          <w:snapToGrid w:val="0"/>
          <w:color w:val="000000"/>
          <w:spacing w:val="-6"/>
          <w:sz w:val="24"/>
          <w:szCs w:val="24"/>
          <w:lang w:eastAsia="zh-CN"/>
        </w:rPr>
        <w:t>12</w:t>
      </w:r>
      <w:r>
        <w:rPr>
          <w:rFonts w:ascii="Times New Roman" w:eastAsia="楷体" w:hAnsi="Times New Roman" w:cs="楷体" w:hint="eastAsia"/>
          <w:snapToGrid w:val="0"/>
          <w:color w:val="000000"/>
          <w:spacing w:val="-6"/>
          <w:sz w:val="24"/>
          <w:szCs w:val="24"/>
          <w:lang w:eastAsia="zh-CN"/>
        </w:rPr>
        <w:t>日，</w:t>
      </w:r>
      <w:r>
        <w:rPr>
          <w:rFonts w:ascii="Times New Roman" w:eastAsia="楷体" w:hAnsi="Times New Roman" w:cs="楷体" w:hint="eastAsia"/>
          <w:snapToGrid w:val="0"/>
          <w:color w:val="000000"/>
          <w:spacing w:val="-6"/>
          <w:sz w:val="24"/>
          <w:szCs w:val="24"/>
          <w:lang w:eastAsia="zh-CN"/>
        </w:rPr>
        <w:t>1#</w:t>
      </w:r>
      <w:r>
        <w:rPr>
          <w:rFonts w:ascii="Times New Roman" w:eastAsia="楷体" w:hAnsi="Times New Roman" w:cs="楷体" w:hint="eastAsia"/>
          <w:snapToGrid w:val="0"/>
          <w:color w:val="000000"/>
          <w:spacing w:val="-6"/>
          <w:sz w:val="24"/>
          <w:szCs w:val="24"/>
          <w:lang w:eastAsia="zh-CN"/>
        </w:rPr>
        <w:t>发电机完成检修并成功并网，本项目保持三条焚烧及两台汽轮发电机组运行。</w:t>
      </w:r>
    </w:p>
    <w:p w:rsidR="00743D12" w:rsidRDefault="00C44636">
      <w:pPr>
        <w:pStyle w:val="a4"/>
        <w:widowControl/>
        <w:kinsoku w:val="0"/>
        <w:autoSpaceDE w:val="0"/>
        <w:autoSpaceDN w:val="0"/>
        <w:adjustRightInd w:val="0"/>
        <w:snapToGrid w:val="0"/>
        <w:spacing w:before="33" w:line="235" w:lineRule="auto"/>
        <w:ind w:left="23" w:firstLine="456"/>
        <w:textAlignment w:val="baseline"/>
        <w:rPr>
          <w:rFonts w:ascii="Times New Roman" w:eastAsia="楷体" w:hAnsi="Times New Roman" w:cs="楷体"/>
          <w:snapToGrid w:val="0"/>
          <w:color w:val="000000"/>
          <w:spacing w:val="-6"/>
          <w:sz w:val="24"/>
          <w:szCs w:val="24"/>
          <w:lang w:eastAsia="zh-CN"/>
        </w:rPr>
      </w:pPr>
      <w:r>
        <w:rPr>
          <w:rFonts w:ascii="Times New Roman" w:eastAsia="楷体" w:hAnsi="Times New Roman" w:cs="楷体" w:hint="eastAsia"/>
          <w:snapToGrid w:val="0"/>
          <w:color w:val="000000"/>
          <w:spacing w:val="-6"/>
          <w:sz w:val="24"/>
          <w:szCs w:val="24"/>
          <w:lang w:eastAsia="zh-CN"/>
        </w:rPr>
        <w:t>2024</w:t>
      </w:r>
      <w:r>
        <w:rPr>
          <w:rFonts w:ascii="Times New Roman" w:eastAsia="楷体" w:hAnsi="Times New Roman" w:cs="楷体" w:hint="eastAsia"/>
          <w:snapToGrid w:val="0"/>
          <w:color w:val="000000"/>
          <w:spacing w:val="-6"/>
          <w:sz w:val="24"/>
          <w:szCs w:val="24"/>
          <w:lang w:eastAsia="zh-CN"/>
        </w:rPr>
        <w:t>年</w:t>
      </w:r>
      <w:r>
        <w:rPr>
          <w:rFonts w:ascii="Times New Roman" w:eastAsia="楷体" w:hAnsi="Times New Roman" w:cs="楷体" w:hint="eastAsia"/>
          <w:snapToGrid w:val="0"/>
          <w:color w:val="000000"/>
          <w:spacing w:val="-6"/>
          <w:sz w:val="24"/>
          <w:szCs w:val="24"/>
          <w:lang w:eastAsia="zh-CN"/>
        </w:rPr>
        <w:t>4</w:t>
      </w:r>
      <w:r>
        <w:rPr>
          <w:rFonts w:ascii="Times New Roman" w:eastAsia="楷体" w:hAnsi="Times New Roman" w:cs="楷体" w:hint="eastAsia"/>
          <w:snapToGrid w:val="0"/>
          <w:color w:val="000000"/>
          <w:spacing w:val="-6"/>
          <w:sz w:val="24"/>
          <w:szCs w:val="24"/>
          <w:lang w:eastAsia="zh-CN"/>
        </w:rPr>
        <w:t>月</w:t>
      </w:r>
      <w:r>
        <w:rPr>
          <w:rFonts w:ascii="Times New Roman" w:eastAsia="楷体" w:hAnsi="Times New Roman" w:cs="楷体" w:hint="eastAsia"/>
          <w:snapToGrid w:val="0"/>
          <w:color w:val="000000"/>
          <w:spacing w:val="-6"/>
          <w:sz w:val="24"/>
          <w:szCs w:val="24"/>
          <w:lang w:eastAsia="zh-CN"/>
        </w:rPr>
        <w:t>14</w:t>
      </w:r>
      <w:r>
        <w:rPr>
          <w:rFonts w:ascii="Times New Roman" w:eastAsia="楷体" w:hAnsi="Times New Roman" w:cs="楷体" w:hint="eastAsia"/>
          <w:snapToGrid w:val="0"/>
          <w:color w:val="000000"/>
          <w:spacing w:val="-6"/>
          <w:sz w:val="24"/>
          <w:szCs w:val="24"/>
          <w:lang w:eastAsia="zh-CN"/>
        </w:rPr>
        <w:t>日，</w:t>
      </w:r>
      <w:r>
        <w:rPr>
          <w:rFonts w:ascii="Times New Roman" w:eastAsia="楷体" w:hAnsi="Times New Roman" w:cs="楷体" w:hint="eastAsia"/>
          <w:snapToGrid w:val="0"/>
          <w:color w:val="000000"/>
          <w:spacing w:val="-6"/>
          <w:sz w:val="24"/>
          <w:szCs w:val="24"/>
          <w:lang w:eastAsia="zh-CN"/>
        </w:rPr>
        <w:t>4#</w:t>
      </w:r>
      <w:r>
        <w:rPr>
          <w:rFonts w:ascii="Times New Roman" w:eastAsia="楷体" w:hAnsi="Times New Roman" w:cs="楷体" w:hint="eastAsia"/>
          <w:snapToGrid w:val="0"/>
          <w:color w:val="000000"/>
          <w:spacing w:val="-6"/>
          <w:sz w:val="24"/>
          <w:szCs w:val="24"/>
          <w:lang w:eastAsia="zh-CN"/>
        </w:rPr>
        <w:t>焚烧炉启动运行，本项目保持四条焚烧线及两台汽轮发电机组运行。</w:t>
      </w:r>
    </w:p>
    <w:p w:rsidR="00743D12" w:rsidRDefault="00C44636">
      <w:pPr>
        <w:pStyle w:val="a4"/>
        <w:widowControl/>
        <w:kinsoku w:val="0"/>
        <w:autoSpaceDE w:val="0"/>
        <w:autoSpaceDN w:val="0"/>
        <w:adjustRightInd w:val="0"/>
        <w:snapToGrid w:val="0"/>
        <w:spacing w:before="33" w:line="235" w:lineRule="auto"/>
        <w:ind w:left="23" w:firstLine="456"/>
        <w:textAlignment w:val="baseline"/>
        <w:rPr>
          <w:rFonts w:ascii="Times New Roman" w:eastAsia="楷体" w:hAnsi="Times New Roman" w:cs="楷体"/>
          <w:snapToGrid w:val="0"/>
          <w:color w:val="000000"/>
          <w:spacing w:val="-6"/>
          <w:sz w:val="24"/>
          <w:szCs w:val="24"/>
          <w:lang w:eastAsia="zh-CN"/>
        </w:rPr>
      </w:pPr>
      <w:r>
        <w:rPr>
          <w:rFonts w:ascii="Times New Roman" w:eastAsia="楷体" w:hAnsi="Times New Roman" w:cs="楷体" w:hint="eastAsia"/>
          <w:snapToGrid w:val="0"/>
          <w:color w:val="000000"/>
          <w:spacing w:val="-6"/>
          <w:sz w:val="24"/>
          <w:szCs w:val="24"/>
          <w:lang w:eastAsia="zh-CN"/>
        </w:rPr>
        <w:t>2024</w:t>
      </w:r>
      <w:r>
        <w:rPr>
          <w:rFonts w:ascii="Times New Roman" w:eastAsia="楷体" w:hAnsi="Times New Roman" w:cs="楷体" w:hint="eastAsia"/>
          <w:snapToGrid w:val="0"/>
          <w:color w:val="000000"/>
          <w:spacing w:val="-6"/>
          <w:sz w:val="24"/>
          <w:szCs w:val="24"/>
          <w:lang w:eastAsia="zh-CN"/>
        </w:rPr>
        <w:t>年</w:t>
      </w:r>
      <w:r>
        <w:rPr>
          <w:rFonts w:ascii="Times New Roman" w:eastAsia="楷体" w:hAnsi="Times New Roman" w:cs="楷体" w:hint="eastAsia"/>
          <w:snapToGrid w:val="0"/>
          <w:color w:val="000000"/>
          <w:spacing w:val="-6"/>
          <w:sz w:val="24"/>
          <w:szCs w:val="24"/>
          <w:lang w:eastAsia="zh-CN"/>
        </w:rPr>
        <w:t>4</w:t>
      </w:r>
      <w:r>
        <w:rPr>
          <w:rFonts w:ascii="Times New Roman" w:eastAsia="楷体" w:hAnsi="Times New Roman" w:cs="楷体" w:hint="eastAsia"/>
          <w:snapToGrid w:val="0"/>
          <w:color w:val="000000"/>
          <w:spacing w:val="-6"/>
          <w:sz w:val="24"/>
          <w:szCs w:val="24"/>
          <w:lang w:eastAsia="zh-CN"/>
        </w:rPr>
        <w:t>月</w:t>
      </w:r>
      <w:r>
        <w:rPr>
          <w:rFonts w:ascii="Times New Roman" w:eastAsia="楷体" w:hAnsi="Times New Roman" w:cs="楷体" w:hint="eastAsia"/>
          <w:snapToGrid w:val="0"/>
          <w:color w:val="000000"/>
          <w:spacing w:val="-6"/>
          <w:sz w:val="24"/>
          <w:szCs w:val="24"/>
          <w:lang w:eastAsia="zh-CN"/>
        </w:rPr>
        <w:t>16</w:t>
      </w:r>
      <w:r>
        <w:rPr>
          <w:rFonts w:ascii="Times New Roman" w:eastAsia="楷体" w:hAnsi="Times New Roman" w:cs="楷体" w:hint="eastAsia"/>
          <w:snapToGrid w:val="0"/>
          <w:color w:val="000000"/>
          <w:spacing w:val="-6"/>
          <w:sz w:val="24"/>
          <w:szCs w:val="24"/>
          <w:lang w:eastAsia="zh-CN"/>
        </w:rPr>
        <w:t>日，本项目保持四条焚烧线及两台汽轮发电机组运行，经过全负荷段的运行及观察，</w:t>
      </w:r>
      <w:r>
        <w:rPr>
          <w:rFonts w:ascii="Times New Roman" w:eastAsia="楷体" w:hAnsi="Times New Roman" w:cs="楷体" w:hint="eastAsia"/>
          <w:snapToGrid w:val="0"/>
          <w:color w:val="000000"/>
          <w:spacing w:val="-6"/>
          <w:sz w:val="24"/>
          <w:szCs w:val="24"/>
          <w:lang w:eastAsia="zh-CN"/>
        </w:rPr>
        <w:t>基金管理人及运营管理机构评估，项目公司目前已基本恢复至正常生产经营状态。</w:t>
      </w:r>
      <w:bookmarkStart w:id="0" w:name="_GoBack"/>
      <w:bookmarkEnd w:id="0"/>
    </w:p>
    <w:p w:rsidR="00743D12" w:rsidRDefault="00C44636">
      <w:pPr>
        <w:widowControl/>
        <w:numPr>
          <w:ilvl w:val="0"/>
          <w:numId w:val="1"/>
        </w:numPr>
        <w:spacing w:before="309" w:line="240" w:lineRule="auto"/>
        <w:ind w:firstLineChars="200" w:firstLine="476"/>
        <w:jc w:val="left"/>
        <w:rPr>
          <w:rFonts w:ascii="楷体" w:eastAsia="楷体" w:hAnsi="楷体" w:cs="楷体"/>
          <w:snapToGrid w:val="0"/>
          <w:color w:val="000000"/>
          <w:spacing w:val="-1"/>
          <w:kern w:val="0"/>
          <w:sz w:val="24"/>
          <w:szCs w:val="24"/>
          <w:lang w:eastAsia="en-US"/>
        </w:rPr>
      </w:pPr>
      <w:r>
        <w:rPr>
          <w:rFonts w:ascii="楷体" w:eastAsia="楷体" w:hAnsi="楷体" w:cs="楷体"/>
          <w:snapToGrid w:val="0"/>
          <w:color w:val="000000"/>
          <w:spacing w:val="-1"/>
          <w:kern w:val="0"/>
          <w:sz w:val="24"/>
          <w:szCs w:val="24"/>
          <w:lang w:eastAsia="en-US"/>
        </w:rPr>
        <w:t>基础设施项目</w:t>
      </w:r>
      <w:r>
        <w:rPr>
          <w:rFonts w:ascii="楷体" w:eastAsia="楷体" w:hAnsi="楷体" w:cs="楷体" w:hint="eastAsia"/>
          <w:snapToGrid w:val="0"/>
          <w:color w:val="000000"/>
          <w:spacing w:val="-1"/>
          <w:kern w:val="0"/>
          <w:sz w:val="24"/>
          <w:szCs w:val="24"/>
        </w:rPr>
        <w:t>后续</w:t>
      </w:r>
      <w:r>
        <w:rPr>
          <w:rFonts w:ascii="楷体" w:eastAsia="楷体" w:hAnsi="楷体" w:cs="楷体"/>
          <w:snapToGrid w:val="0"/>
          <w:color w:val="000000"/>
          <w:spacing w:val="-1"/>
          <w:kern w:val="0"/>
          <w:sz w:val="24"/>
          <w:szCs w:val="24"/>
          <w:lang w:eastAsia="en-US"/>
        </w:rPr>
        <w:t>工作安排</w:t>
      </w:r>
    </w:p>
    <w:p w:rsidR="00743D12" w:rsidRDefault="00C44636">
      <w:pPr>
        <w:pStyle w:val="a4"/>
        <w:widowControl/>
        <w:kinsoku w:val="0"/>
        <w:autoSpaceDE w:val="0"/>
        <w:autoSpaceDN w:val="0"/>
        <w:adjustRightInd w:val="0"/>
        <w:snapToGrid w:val="0"/>
        <w:spacing w:before="33" w:line="235" w:lineRule="auto"/>
        <w:ind w:left="23" w:firstLine="456"/>
        <w:textAlignment w:val="baseline"/>
        <w:rPr>
          <w:rFonts w:ascii="Times New Roman" w:eastAsia="楷体" w:hAnsi="Times New Roman" w:cs="楷体"/>
          <w:snapToGrid w:val="0"/>
          <w:color w:val="000000"/>
          <w:spacing w:val="-6"/>
          <w:sz w:val="24"/>
          <w:szCs w:val="24"/>
          <w:lang w:eastAsia="zh-CN"/>
        </w:rPr>
      </w:pPr>
      <w:bookmarkStart w:id="1" w:name="_Hlk162939794"/>
      <w:r>
        <w:rPr>
          <w:rFonts w:ascii="Times New Roman" w:eastAsia="楷体" w:hAnsi="Times New Roman" w:cs="楷体" w:hint="eastAsia"/>
          <w:snapToGrid w:val="0"/>
          <w:color w:val="000000"/>
          <w:spacing w:val="-6"/>
          <w:sz w:val="24"/>
          <w:szCs w:val="24"/>
          <w:lang w:eastAsia="zh-CN"/>
        </w:rPr>
        <w:t>1#</w:t>
      </w:r>
      <w:r>
        <w:rPr>
          <w:rFonts w:ascii="Times New Roman" w:eastAsia="楷体" w:hAnsi="Times New Roman" w:cs="楷体" w:hint="eastAsia"/>
          <w:snapToGrid w:val="0"/>
          <w:color w:val="000000"/>
          <w:spacing w:val="-6"/>
          <w:sz w:val="24"/>
          <w:szCs w:val="24"/>
          <w:lang w:eastAsia="zh-CN"/>
        </w:rPr>
        <w:t>发电机完成返厂检修重新启动后，短时间可能存在运行不稳定、次生缺陷增加的情况</w:t>
      </w:r>
      <w:r>
        <w:rPr>
          <w:rFonts w:ascii="Times New Roman" w:eastAsia="楷体" w:hAnsi="Times New Roman" w:cs="楷体" w:hint="eastAsia"/>
          <w:snapToGrid w:val="0"/>
          <w:color w:val="000000"/>
          <w:spacing w:val="-6"/>
          <w:sz w:val="24"/>
          <w:szCs w:val="24"/>
          <w:lang w:eastAsia="zh-CN"/>
        </w:rPr>
        <w:t>。</w:t>
      </w:r>
      <w:r>
        <w:rPr>
          <w:rFonts w:ascii="Times New Roman" w:eastAsia="楷体" w:hAnsi="Times New Roman" w:cs="楷体" w:hint="eastAsia"/>
          <w:snapToGrid w:val="0"/>
          <w:color w:val="000000"/>
          <w:spacing w:val="-6"/>
          <w:sz w:val="24"/>
          <w:szCs w:val="24"/>
          <w:lang w:eastAsia="zh-CN"/>
        </w:rPr>
        <w:t>基金管理人及运营管理机构将密切关注</w:t>
      </w:r>
      <w:r>
        <w:rPr>
          <w:rFonts w:ascii="Times New Roman" w:eastAsia="楷体" w:hAnsi="Times New Roman" w:cs="楷体" w:hint="eastAsia"/>
          <w:snapToGrid w:val="0"/>
          <w:color w:val="000000"/>
          <w:spacing w:val="-6"/>
          <w:sz w:val="24"/>
          <w:szCs w:val="24"/>
          <w:lang w:eastAsia="zh-CN"/>
        </w:rPr>
        <w:t>1#</w:t>
      </w:r>
      <w:r>
        <w:rPr>
          <w:rFonts w:ascii="Times New Roman" w:eastAsia="楷体" w:hAnsi="Times New Roman" w:cs="楷体" w:hint="eastAsia"/>
          <w:snapToGrid w:val="0"/>
          <w:color w:val="000000"/>
          <w:spacing w:val="-6"/>
          <w:sz w:val="24"/>
          <w:szCs w:val="24"/>
          <w:lang w:eastAsia="zh-CN"/>
        </w:rPr>
        <w:t>发电机检修后的运行情况，及时消除各项设备缺陷，调整焚烧炉燃烧。此外，基金管理人及运管管理机构持续关注项目垃圾进场量情况。</w:t>
      </w:r>
    </w:p>
    <w:bookmarkEnd w:id="1"/>
    <w:p w:rsidR="00743D12" w:rsidRDefault="00C44636">
      <w:pPr>
        <w:widowControl/>
        <w:numPr>
          <w:ilvl w:val="0"/>
          <w:numId w:val="1"/>
        </w:numPr>
        <w:kinsoku w:val="0"/>
        <w:autoSpaceDE w:val="0"/>
        <w:autoSpaceDN w:val="0"/>
        <w:adjustRightInd w:val="0"/>
        <w:snapToGrid w:val="0"/>
        <w:spacing w:before="309" w:line="235" w:lineRule="auto"/>
        <w:ind w:left="23"/>
        <w:textAlignment w:val="baseline"/>
        <w:rPr>
          <w:rFonts w:ascii="楷体" w:eastAsia="楷体" w:hAnsi="楷体" w:cs="楷体"/>
          <w:snapToGrid w:val="0"/>
          <w:color w:val="000000"/>
          <w:spacing w:val="-1"/>
          <w:kern w:val="0"/>
          <w:sz w:val="24"/>
          <w:szCs w:val="24"/>
          <w:lang w:eastAsia="en-US"/>
        </w:rPr>
      </w:pPr>
      <w:r>
        <w:rPr>
          <w:rFonts w:ascii="楷体" w:eastAsia="楷体" w:hAnsi="楷体" w:cs="楷体"/>
          <w:snapToGrid w:val="0"/>
          <w:color w:val="000000"/>
          <w:spacing w:val="-1"/>
          <w:kern w:val="0"/>
          <w:sz w:val="24"/>
          <w:szCs w:val="24"/>
          <w:lang w:eastAsia="en-US"/>
        </w:rPr>
        <w:t>其他说明事项</w:t>
      </w:r>
    </w:p>
    <w:p w:rsidR="00743D12" w:rsidRDefault="00C44636">
      <w:pPr>
        <w:pStyle w:val="a4"/>
        <w:widowControl/>
        <w:kinsoku w:val="0"/>
        <w:autoSpaceDE w:val="0"/>
        <w:autoSpaceDN w:val="0"/>
        <w:adjustRightInd w:val="0"/>
        <w:snapToGrid w:val="0"/>
        <w:spacing w:before="33" w:line="235" w:lineRule="auto"/>
        <w:ind w:left="23" w:firstLine="456"/>
        <w:textAlignment w:val="baseline"/>
        <w:rPr>
          <w:rFonts w:ascii="Times New Roman" w:eastAsia="楷体" w:hAnsi="Times New Roman" w:cs="楷体"/>
          <w:snapToGrid w:val="0"/>
          <w:color w:val="000000"/>
          <w:spacing w:val="-6"/>
          <w:sz w:val="24"/>
          <w:szCs w:val="24"/>
          <w:lang w:eastAsia="zh-CN"/>
        </w:rPr>
      </w:pPr>
      <w:r>
        <w:rPr>
          <w:rFonts w:ascii="Times New Roman" w:eastAsia="楷体" w:hAnsi="Times New Roman" w:cs="楷体"/>
          <w:snapToGrid w:val="0"/>
          <w:color w:val="000000"/>
          <w:spacing w:val="-6"/>
          <w:sz w:val="24"/>
          <w:szCs w:val="24"/>
          <w:lang w:eastAsia="zh-CN"/>
        </w:rPr>
        <w:t>投资者如有任何疑问请发送邮件至</w:t>
      </w:r>
      <w:r>
        <w:rPr>
          <w:rFonts w:ascii="Times New Roman" w:eastAsia="楷体" w:hAnsi="Times New Roman" w:cs="楷体"/>
          <w:snapToGrid w:val="0"/>
          <w:color w:val="000000"/>
          <w:spacing w:val="-6"/>
          <w:sz w:val="24"/>
          <w:szCs w:val="24"/>
          <w:lang w:eastAsia="zh-CN"/>
        </w:rPr>
        <w:t>IR_REITs@avicfund.cn</w:t>
      </w:r>
      <w:r>
        <w:rPr>
          <w:rFonts w:ascii="Times New Roman" w:eastAsia="楷体" w:hAnsi="Times New Roman" w:cs="楷体"/>
          <w:snapToGrid w:val="0"/>
          <w:color w:val="000000"/>
          <w:spacing w:val="-6"/>
          <w:sz w:val="24"/>
          <w:szCs w:val="24"/>
          <w:lang w:eastAsia="zh-CN"/>
        </w:rPr>
        <w:t>进行相关咨询。</w:t>
      </w:r>
    </w:p>
    <w:p w:rsidR="00743D12" w:rsidRDefault="00C44636">
      <w:pPr>
        <w:pStyle w:val="a4"/>
        <w:widowControl/>
        <w:kinsoku w:val="0"/>
        <w:autoSpaceDE w:val="0"/>
        <w:autoSpaceDN w:val="0"/>
        <w:adjustRightInd w:val="0"/>
        <w:snapToGrid w:val="0"/>
        <w:spacing w:before="33" w:line="235" w:lineRule="auto"/>
        <w:ind w:left="23" w:firstLine="456"/>
        <w:textAlignment w:val="baseline"/>
        <w:rPr>
          <w:rFonts w:ascii="Times New Roman" w:eastAsia="楷体" w:hAnsi="Times New Roman" w:cs="楷体"/>
          <w:snapToGrid w:val="0"/>
          <w:color w:val="000000"/>
          <w:spacing w:val="-6"/>
          <w:sz w:val="24"/>
          <w:szCs w:val="24"/>
          <w:lang w:eastAsia="zh-CN"/>
        </w:rPr>
      </w:pPr>
      <w:r>
        <w:rPr>
          <w:rFonts w:ascii="Times New Roman" w:eastAsia="楷体" w:hAnsi="Times New Roman" w:cs="楷体"/>
          <w:snapToGrid w:val="0"/>
          <w:color w:val="000000"/>
          <w:spacing w:val="-6"/>
          <w:sz w:val="24"/>
          <w:szCs w:val="24"/>
          <w:lang w:eastAsia="zh-CN"/>
        </w:rPr>
        <w:t>截至目前，本基金投资运作正常，无应披露而未披露的重大信息，基金管理人将严格按照法律法规及基金合同的规定进行投资运作，履行信息披露义务。</w:t>
      </w:r>
    </w:p>
    <w:p w:rsidR="00743D12" w:rsidRDefault="00C44636">
      <w:pPr>
        <w:pStyle w:val="a4"/>
        <w:widowControl/>
        <w:kinsoku w:val="0"/>
        <w:autoSpaceDE w:val="0"/>
        <w:autoSpaceDN w:val="0"/>
        <w:adjustRightInd w:val="0"/>
        <w:snapToGrid w:val="0"/>
        <w:spacing w:before="33" w:line="235" w:lineRule="auto"/>
        <w:ind w:left="23" w:firstLine="456"/>
        <w:textAlignment w:val="baseline"/>
        <w:rPr>
          <w:rFonts w:ascii="Times New Roman" w:eastAsia="楷体" w:hAnsi="Times New Roman" w:cs="楷体"/>
          <w:snapToGrid w:val="0"/>
          <w:color w:val="000000"/>
          <w:spacing w:val="-6"/>
          <w:sz w:val="24"/>
          <w:szCs w:val="24"/>
          <w:lang w:eastAsia="zh-CN"/>
        </w:rPr>
      </w:pPr>
      <w:r>
        <w:rPr>
          <w:rFonts w:ascii="Times New Roman" w:eastAsia="楷体" w:hAnsi="Times New Roman" w:cs="楷体"/>
          <w:snapToGrid w:val="0"/>
          <w:color w:val="000000"/>
          <w:spacing w:val="-6"/>
          <w:sz w:val="24"/>
          <w:szCs w:val="24"/>
          <w:lang w:eastAsia="zh-CN"/>
        </w:rPr>
        <w:t>基金管理人承诺以诚实守信、勤勉尽责的原则管理和运用基金资产，但不保证基金一定盈利，也不保证最低收益。基金管理人过往业绩不代表其未来表现。基础设施基金封闭运作，不开放申赎。基础设施基金在交易所上市，场外份额持有人需将基金份额转托管至场内方可进行场内交易或通过交易所基金通平台进行场外份额转让。基础设施证券投资基金采用</w:t>
      </w:r>
      <w:r>
        <w:rPr>
          <w:rFonts w:ascii="Times New Roman" w:eastAsia="楷体" w:hAnsi="Times New Roman" w:cs="楷体"/>
          <w:snapToGrid w:val="0"/>
          <w:color w:val="000000"/>
          <w:spacing w:val="-6"/>
          <w:sz w:val="24"/>
          <w:szCs w:val="24"/>
          <w:lang w:eastAsia="zh-CN"/>
        </w:rPr>
        <w:t>“</w:t>
      </w:r>
      <w:r>
        <w:rPr>
          <w:rFonts w:ascii="Times New Roman" w:eastAsia="楷体" w:hAnsi="Times New Roman" w:cs="楷体"/>
          <w:snapToGrid w:val="0"/>
          <w:color w:val="000000"/>
          <w:spacing w:val="-6"/>
          <w:sz w:val="24"/>
          <w:szCs w:val="24"/>
          <w:lang w:eastAsia="zh-CN"/>
        </w:rPr>
        <w:t>公募基金</w:t>
      </w:r>
      <w:r>
        <w:rPr>
          <w:rFonts w:ascii="Times New Roman" w:eastAsia="楷体" w:hAnsi="Times New Roman" w:cs="楷体"/>
          <w:snapToGrid w:val="0"/>
          <w:color w:val="000000"/>
          <w:spacing w:val="-6"/>
          <w:sz w:val="24"/>
          <w:szCs w:val="24"/>
          <w:lang w:eastAsia="zh-CN"/>
        </w:rPr>
        <w:t>+</w:t>
      </w:r>
      <w:r>
        <w:rPr>
          <w:rFonts w:ascii="Times New Roman" w:eastAsia="楷体" w:hAnsi="Times New Roman" w:cs="楷体"/>
          <w:snapToGrid w:val="0"/>
          <w:color w:val="000000"/>
          <w:spacing w:val="-6"/>
          <w:sz w:val="24"/>
          <w:szCs w:val="24"/>
          <w:lang w:eastAsia="zh-CN"/>
        </w:rPr>
        <w:t>基础设施资产支持证券</w:t>
      </w:r>
      <w:r>
        <w:rPr>
          <w:rFonts w:ascii="Times New Roman" w:eastAsia="楷体" w:hAnsi="Times New Roman" w:cs="楷体"/>
          <w:snapToGrid w:val="0"/>
          <w:color w:val="000000"/>
          <w:spacing w:val="-6"/>
          <w:sz w:val="24"/>
          <w:szCs w:val="24"/>
          <w:lang w:eastAsia="zh-CN"/>
        </w:rPr>
        <w:t>”</w:t>
      </w:r>
      <w:r>
        <w:rPr>
          <w:rFonts w:ascii="Times New Roman" w:eastAsia="楷体" w:hAnsi="Times New Roman" w:cs="楷体"/>
          <w:snapToGrid w:val="0"/>
          <w:color w:val="000000"/>
          <w:spacing w:val="-6"/>
          <w:sz w:val="24"/>
          <w:szCs w:val="24"/>
          <w:lang w:eastAsia="zh-CN"/>
        </w:rPr>
        <w:t>的产品结构，投资基础设施基金可能面临以下风险：基金价格波动风险、基础设施项目运营风险、流动性风险、终止上市风险、税收等政策调整风险等。基金招募说明书、发售公告等法律</w:t>
      </w:r>
      <w:r>
        <w:rPr>
          <w:rFonts w:ascii="Times New Roman" w:eastAsia="楷体" w:hAnsi="Times New Roman" w:cs="楷体"/>
          <w:snapToGrid w:val="0"/>
          <w:color w:val="000000"/>
          <w:spacing w:val="-6"/>
          <w:sz w:val="24"/>
          <w:szCs w:val="24"/>
          <w:lang w:eastAsia="zh-CN"/>
        </w:rPr>
        <w:t>文件披露的预计可供分配金额、净现金流分派率等，是专业的第三方机构在充分的尽职调查后，采用合理的方法和技术路径形成的预测，但由于市场中众多不确定因素，上述预测值并非向投资者保证本金不受损失或者保证其取得最低收益的承诺。</w:t>
      </w:r>
    </w:p>
    <w:p w:rsidR="00743D12" w:rsidRDefault="00C44636">
      <w:pPr>
        <w:pStyle w:val="a4"/>
        <w:widowControl/>
        <w:kinsoku w:val="0"/>
        <w:autoSpaceDE w:val="0"/>
        <w:autoSpaceDN w:val="0"/>
        <w:adjustRightInd w:val="0"/>
        <w:snapToGrid w:val="0"/>
        <w:spacing w:before="33" w:line="235" w:lineRule="auto"/>
        <w:ind w:left="23" w:firstLine="456"/>
        <w:textAlignment w:val="baseline"/>
        <w:rPr>
          <w:rFonts w:ascii="Times New Roman" w:eastAsia="楷体" w:hAnsi="Times New Roman" w:cs="楷体"/>
          <w:snapToGrid w:val="0"/>
          <w:color w:val="000000"/>
          <w:spacing w:val="-6"/>
          <w:sz w:val="24"/>
          <w:szCs w:val="24"/>
          <w:lang w:eastAsia="zh-CN"/>
        </w:rPr>
      </w:pPr>
      <w:r>
        <w:rPr>
          <w:rFonts w:ascii="Times New Roman" w:eastAsia="楷体" w:hAnsi="Times New Roman" w:cs="楷体"/>
          <w:snapToGrid w:val="0"/>
          <w:color w:val="000000"/>
          <w:spacing w:val="-6"/>
          <w:sz w:val="24"/>
          <w:szCs w:val="24"/>
          <w:lang w:eastAsia="zh-CN"/>
        </w:rPr>
        <w:t>市场有风险，投资需谨慎。投资者购买基金前，请仔细阅读基金合同、招募说明书、基金产品资料概要等法律文件，并根据自身风险承受能力谨慎选择，谨慎做出投资决策，自行承担投资风险。</w:t>
      </w:r>
    </w:p>
    <w:p w:rsidR="00743D12" w:rsidRDefault="00C44636">
      <w:pPr>
        <w:pStyle w:val="a4"/>
        <w:widowControl/>
        <w:kinsoku w:val="0"/>
        <w:autoSpaceDE w:val="0"/>
        <w:autoSpaceDN w:val="0"/>
        <w:adjustRightInd w:val="0"/>
        <w:snapToGrid w:val="0"/>
        <w:spacing w:before="33" w:line="235" w:lineRule="auto"/>
        <w:ind w:left="23" w:firstLine="456"/>
        <w:textAlignment w:val="baseline"/>
        <w:rPr>
          <w:rFonts w:ascii="Times New Roman" w:eastAsia="楷体" w:hAnsi="Times New Roman" w:cs="楷体"/>
          <w:snapToGrid w:val="0"/>
          <w:color w:val="000000"/>
          <w:spacing w:val="-6"/>
          <w:sz w:val="24"/>
          <w:szCs w:val="24"/>
          <w:lang w:eastAsia="zh-CN"/>
        </w:rPr>
      </w:pPr>
      <w:r>
        <w:rPr>
          <w:rFonts w:ascii="Times New Roman" w:eastAsia="楷体" w:hAnsi="Times New Roman" w:cs="楷体"/>
          <w:snapToGrid w:val="0"/>
          <w:color w:val="000000"/>
          <w:spacing w:val="-6"/>
          <w:sz w:val="24"/>
          <w:szCs w:val="24"/>
          <w:lang w:eastAsia="zh-CN"/>
        </w:rPr>
        <w:t>特此公告。</w:t>
      </w:r>
    </w:p>
    <w:p w:rsidR="00743D12" w:rsidRDefault="00743D12">
      <w:pPr>
        <w:pStyle w:val="a4"/>
        <w:widowControl/>
        <w:kinsoku w:val="0"/>
        <w:autoSpaceDE w:val="0"/>
        <w:autoSpaceDN w:val="0"/>
        <w:adjustRightInd w:val="0"/>
        <w:snapToGrid w:val="0"/>
        <w:spacing w:before="33" w:line="235" w:lineRule="auto"/>
        <w:ind w:left="23" w:firstLine="456"/>
        <w:textAlignment w:val="baseline"/>
        <w:rPr>
          <w:rFonts w:ascii="楷体" w:eastAsia="楷体" w:hAnsi="楷体" w:cs="楷体"/>
          <w:snapToGrid w:val="0"/>
          <w:color w:val="000000"/>
          <w:spacing w:val="-6"/>
          <w:sz w:val="24"/>
          <w:szCs w:val="24"/>
          <w:lang w:eastAsia="zh-CN"/>
        </w:rPr>
      </w:pPr>
    </w:p>
    <w:p w:rsidR="00743D12" w:rsidRDefault="00743D12">
      <w:pPr>
        <w:pStyle w:val="a4"/>
        <w:widowControl/>
        <w:kinsoku w:val="0"/>
        <w:autoSpaceDE w:val="0"/>
        <w:autoSpaceDN w:val="0"/>
        <w:adjustRightInd w:val="0"/>
        <w:snapToGrid w:val="0"/>
        <w:spacing w:before="33" w:line="235" w:lineRule="auto"/>
        <w:ind w:left="23" w:firstLine="456"/>
        <w:textAlignment w:val="baseline"/>
        <w:rPr>
          <w:rFonts w:ascii="楷体" w:eastAsia="楷体" w:hAnsi="楷体" w:cs="楷体"/>
          <w:snapToGrid w:val="0"/>
          <w:color w:val="000000"/>
          <w:spacing w:val="-6"/>
          <w:sz w:val="24"/>
          <w:szCs w:val="24"/>
          <w:lang w:eastAsia="zh-CN"/>
        </w:rPr>
      </w:pPr>
    </w:p>
    <w:p w:rsidR="00743D12" w:rsidRDefault="00743D12">
      <w:pPr>
        <w:pStyle w:val="a4"/>
        <w:widowControl/>
        <w:kinsoku w:val="0"/>
        <w:autoSpaceDE w:val="0"/>
        <w:autoSpaceDN w:val="0"/>
        <w:adjustRightInd w:val="0"/>
        <w:snapToGrid w:val="0"/>
        <w:spacing w:before="33" w:line="235" w:lineRule="auto"/>
        <w:ind w:left="23" w:firstLine="456"/>
        <w:textAlignment w:val="baseline"/>
        <w:rPr>
          <w:rFonts w:ascii="楷体" w:eastAsia="楷体" w:hAnsi="楷体" w:cs="楷体"/>
          <w:snapToGrid w:val="0"/>
          <w:color w:val="000000"/>
          <w:spacing w:val="-6"/>
          <w:sz w:val="24"/>
          <w:szCs w:val="24"/>
          <w:lang w:eastAsia="zh-CN"/>
        </w:rPr>
      </w:pPr>
    </w:p>
    <w:p w:rsidR="00743D12" w:rsidRDefault="00C44636">
      <w:pPr>
        <w:widowControl/>
        <w:kinsoku w:val="0"/>
        <w:autoSpaceDE w:val="0"/>
        <w:autoSpaceDN w:val="0"/>
        <w:adjustRightInd w:val="0"/>
        <w:snapToGrid w:val="0"/>
        <w:spacing w:before="78" w:line="631" w:lineRule="exact"/>
        <w:ind w:right="9"/>
        <w:jc w:val="right"/>
        <w:textAlignment w:val="baseline"/>
        <w:rPr>
          <w:rFonts w:eastAsia="楷体" w:cs="楷体"/>
          <w:snapToGrid w:val="0"/>
          <w:color w:val="000000"/>
          <w:kern w:val="0"/>
          <w:sz w:val="24"/>
          <w:szCs w:val="24"/>
          <w:lang w:eastAsia="en-US"/>
        </w:rPr>
      </w:pPr>
      <w:r>
        <w:rPr>
          <w:rFonts w:eastAsia="楷体" w:cs="楷体"/>
          <w:snapToGrid w:val="0"/>
          <w:color w:val="000000"/>
          <w:spacing w:val="-4"/>
          <w:kern w:val="0"/>
          <w:position w:val="30"/>
          <w:sz w:val="24"/>
          <w:szCs w:val="24"/>
          <w:lang w:eastAsia="en-US"/>
        </w:rPr>
        <w:t>中航基金管理有限公司</w:t>
      </w:r>
    </w:p>
    <w:p w:rsidR="00743D12" w:rsidRDefault="00C44636">
      <w:pPr>
        <w:widowControl/>
        <w:kinsoku w:val="0"/>
        <w:autoSpaceDE w:val="0"/>
        <w:autoSpaceDN w:val="0"/>
        <w:adjustRightInd w:val="0"/>
        <w:snapToGrid w:val="0"/>
        <w:spacing w:line="217" w:lineRule="auto"/>
        <w:jc w:val="right"/>
        <w:textAlignment w:val="baseline"/>
        <w:rPr>
          <w:rFonts w:eastAsia="楷体" w:cs="楷体"/>
          <w:snapToGrid w:val="0"/>
          <w:color w:val="000000"/>
          <w:kern w:val="0"/>
          <w:sz w:val="24"/>
          <w:szCs w:val="24"/>
          <w:lang w:eastAsia="en-US"/>
        </w:rPr>
      </w:pPr>
      <w:r>
        <w:rPr>
          <w:rFonts w:eastAsia="楷体" w:cs="Times New Roman"/>
          <w:snapToGrid w:val="0"/>
          <w:color w:val="000000"/>
          <w:spacing w:val="-11"/>
          <w:kern w:val="0"/>
          <w:sz w:val="24"/>
          <w:szCs w:val="24"/>
          <w:lang w:eastAsia="en-US"/>
        </w:rPr>
        <w:t>202</w:t>
      </w:r>
      <w:r>
        <w:rPr>
          <w:rFonts w:eastAsia="楷体" w:cs="Times New Roman" w:hint="eastAsia"/>
          <w:snapToGrid w:val="0"/>
          <w:color w:val="000000"/>
          <w:spacing w:val="-11"/>
          <w:kern w:val="0"/>
          <w:sz w:val="24"/>
          <w:szCs w:val="24"/>
        </w:rPr>
        <w:t>4</w:t>
      </w:r>
      <w:r>
        <w:rPr>
          <w:rFonts w:eastAsia="楷体" w:cs="楷体"/>
          <w:snapToGrid w:val="0"/>
          <w:color w:val="000000"/>
          <w:spacing w:val="-11"/>
          <w:kern w:val="0"/>
          <w:sz w:val="24"/>
          <w:szCs w:val="24"/>
          <w:lang w:eastAsia="en-US"/>
        </w:rPr>
        <w:t>年</w:t>
      </w:r>
      <w:r>
        <w:rPr>
          <w:rFonts w:eastAsia="楷体" w:cs="楷体" w:hint="eastAsia"/>
          <w:snapToGrid w:val="0"/>
          <w:color w:val="000000"/>
          <w:spacing w:val="-11"/>
          <w:kern w:val="0"/>
          <w:sz w:val="24"/>
          <w:szCs w:val="24"/>
        </w:rPr>
        <w:t>0</w:t>
      </w:r>
      <w:r>
        <w:rPr>
          <w:rFonts w:eastAsia="楷体" w:cs="Times New Roman" w:hint="eastAsia"/>
          <w:snapToGrid w:val="0"/>
          <w:color w:val="000000"/>
          <w:spacing w:val="-11"/>
          <w:kern w:val="0"/>
          <w:sz w:val="24"/>
          <w:szCs w:val="24"/>
        </w:rPr>
        <w:t>4</w:t>
      </w:r>
      <w:r>
        <w:rPr>
          <w:rFonts w:eastAsia="楷体" w:cs="楷体"/>
          <w:snapToGrid w:val="0"/>
          <w:color w:val="000000"/>
          <w:spacing w:val="-11"/>
          <w:kern w:val="0"/>
          <w:sz w:val="24"/>
          <w:szCs w:val="24"/>
          <w:lang w:eastAsia="en-US"/>
        </w:rPr>
        <w:t>月</w:t>
      </w:r>
      <w:r>
        <w:rPr>
          <w:rFonts w:eastAsia="楷体" w:cs="楷体" w:hint="eastAsia"/>
          <w:snapToGrid w:val="0"/>
          <w:color w:val="000000"/>
          <w:spacing w:val="-11"/>
          <w:kern w:val="0"/>
          <w:sz w:val="24"/>
          <w:szCs w:val="24"/>
        </w:rPr>
        <w:t>18</w:t>
      </w:r>
      <w:r>
        <w:rPr>
          <w:rFonts w:eastAsia="楷体" w:cs="楷体"/>
          <w:snapToGrid w:val="0"/>
          <w:color w:val="000000"/>
          <w:spacing w:val="-11"/>
          <w:kern w:val="0"/>
          <w:sz w:val="24"/>
          <w:szCs w:val="24"/>
          <w:lang w:eastAsia="en-US"/>
        </w:rPr>
        <w:t>日</w:t>
      </w:r>
    </w:p>
    <w:p w:rsidR="00743D12" w:rsidRDefault="00743D12">
      <w:pPr>
        <w:pStyle w:val="a4"/>
        <w:widowControl/>
        <w:kinsoku w:val="0"/>
        <w:autoSpaceDE w:val="0"/>
        <w:autoSpaceDN w:val="0"/>
        <w:adjustRightInd w:val="0"/>
        <w:snapToGrid w:val="0"/>
        <w:spacing w:before="33" w:line="235" w:lineRule="auto"/>
        <w:ind w:left="23" w:firstLine="456"/>
        <w:textAlignment w:val="baseline"/>
        <w:rPr>
          <w:rFonts w:ascii="楷体" w:eastAsia="楷体" w:hAnsi="楷体" w:cs="楷体"/>
          <w:snapToGrid w:val="0"/>
          <w:color w:val="000000"/>
          <w:spacing w:val="-6"/>
          <w:sz w:val="24"/>
          <w:szCs w:val="24"/>
          <w:lang w:eastAsia="zh-CN"/>
        </w:rPr>
      </w:pPr>
    </w:p>
    <w:sectPr w:rsidR="00743D12" w:rsidSect="00743D12">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D12" w:rsidRDefault="00C44636">
      <w:pPr>
        <w:spacing w:line="240" w:lineRule="auto"/>
      </w:pPr>
      <w:r>
        <w:separator/>
      </w:r>
    </w:p>
  </w:endnote>
  <w:endnote w:type="continuationSeparator" w:id="0">
    <w:p w:rsidR="00743D12" w:rsidRDefault="00C446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等线 Light">
    <w:charset w:val="86"/>
    <w:family w:val="auto"/>
    <w:pitch w:val="default"/>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default"/>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等线">
    <w:charset w:val="86"/>
    <w:family w:val="auto"/>
    <w:pitch w:val="default"/>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D12" w:rsidRDefault="00743D12">
    <w:pPr>
      <w:spacing w:line="174" w:lineRule="auto"/>
      <w:ind w:left="4125"/>
      <w:rPr>
        <w:rFonts w:eastAsia="Times New Roman" w:cs="Times New Roman"/>
        <w:sz w:val="18"/>
        <w:szCs w:val="18"/>
      </w:rPr>
    </w:pPr>
    <w:r w:rsidRPr="00743D12">
      <w:rPr>
        <w:sz w:val="18"/>
      </w:rP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743D12" w:rsidRDefault="00743D12">
                <w:pPr>
                  <w:pStyle w:val="a5"/>
                </w:pPr>
                <w:r>
                  <w:fldChar w:fldCharType="begin"/>
                </w:r>
                <w:r w:rsidR="00C44636">
                  <w:instrText xml:space="preserve"> PAGE  \* MERGEFORMAT </w:instrText>
                </w:r>
                <w:r>
                  <w:fldChar w:fldCharType="separate"/>
                </w:r>
                <w:r w:rsidR="00C44636">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D12" w:rsidRDefault="00C44636">
      <w:pPr>
        <w:spacing w:line="240" w:lineRule="auto"/>
      </w:pPr>
      <w:r>
        <w:separator/>
      </w:r>
    </w:p>
  </w:footnote>
  <w:footnote w:type="continuationSeparator" w:id="0">
    <w:p w:rsidR="00743D12" w:rsidRDefault="00C4463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B9B"/>
    <w:multiLevelType w:val="singleLevel"/>
    <w:tmpl w:val="00236B9B"/>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trackRevisions/>
  <w:defaultTabStop w:val="420"/>
  <w:drawingGridHorizontalSpacing w:val="105"/>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mZhMjJkYjYzNzlkYjI5OGFjNWRjNTgwMjc3MDQ5YTkifQ=="/>
  </w:docVars>
  <w:rsids>
    <w:rsidRoot w:val="00DC0AD5"/>
    <w:rsid w:val="000845BB"/>
    <w:rsid w:val="000B30A8"/>
    <w:rsid w:val="000B62CA"/>
    <w:rsid w:val="000D31F2"/>
    <w:rsid w:val="00166438"/>
    <w:rsid w:val="00186A80"/>
    <w:rsid w:val="001A5F75"/>
    <w:rsid w:val="00205B24"/>
    <w:rsid w:val="002119D9"/>
    <w:rsid w:val="002631D3"/>
    <w:rsid w:val="002A50E5"/>
    <w:rsid w:val="00330F7E"/>
    <w:rsid w:val="00346615"/>
    <w:rsid w:val="00353DE7"/>
    <w:rsid w:val="00381795"/>
    <w:rsid w:val="003A0FBF"/>
    <w:rsid w:val="003A477C"/>
    <w:rsid w:val="003E171E"/>
    <w:rsid w:val="004257E3"/>
    <w:rsid w:val="00430555"/>
    <w:rsid w:val="004366B8"/>
    <w:rsid w:val="00476129"/>
    <w:rsid w:val="00526555"/>
    <w:rsid w:val="0054098C"/>
    <w:rsid w:val="00562E22"/>
    <w:rsid w:val="00592EC0"/>
    <w:rsid w:val="005E13CA"/>
    <w:rsid w:val="005E1D17"/>
    <w:rsid w:val="005F7E58"/>
    <w:rsid w:val="006308AF"/>
    <w:rsid w:val="006341E2"/>
    <w:rsid w:val="006539BE"/>
    <w:rsid w:val="00667198"/>
    <w:rsid w:val="00667D04"/>
    <w:rsid w:val="006A742E"/>
    <w:rsid w:val="006B274B"/>
    <w:rsid w:val="006D67BA"/>
    <w:rsid w:val="0070550A"/>
    <w:rsid w:val="00743D12"/>
    <w:rsid w:val="0079414E"/>
    <w:rsid w:val="00796349"/>
    <w:rsid w:val="007B3202"/>
    <w:rsid w:val="00863525"/>
    <w:rsid w:val="00876F5D"/>
    <w:rsid w:val="00921B32"/>
    <w:rsid w:val="00932E1F"/>
    <w:rsid w:val="00950D8B"/>
    <w:rsid w:val="00953CEF"/>
    <w:rsid w:val="00961A67"/>
    <w:rsid w:val="00993689"/>
    <w:rsid w:val="009B06E3"/>
    <w:rsid w:val="009B2AB2"/>
    <w:rsid w:val="00A013FC"/>
    <w:rsid w:val="00A029BA"/>
    <w:rsid w:val="00A0317E"/>
    <w:rsid w:val="00A37B2E"/>
    <w:rsid w:val="00A42EE1"/>
    <w:rsid w:val="00A5069B"/>
    <w:rsid w:val="00A877B3"/>
    <w:rsid w:val="00AC4947"/>
    <w:rsid w:val="00B260B1"/>
    <w:rsid w:val="00B44882"/>
    <w:rsid w:val="00BC47C0"/>
    <w:rsid w:val="00BC4FE6"/>
    <w:rsid w:val="00BE0C45"/>
    <w:rsid w:val="00BF073A"/>
    <w:rsid w:val="00C32F2C"/>
    <w:rsid w:val="00C32F51"/>
    <w:rsid w:val="00C44636"/>
    <w:rsid w:val="00C71BD8"/>
    <w:rsid w:val="00C81947"/>
    <w:rsid w:val="00C81D71"/>
    <w:rsid w:val="00CC5173"/>
    <w:rsid w:val="00D17D19"/>
    <w:rsid w:val="00D56875"/>
    <w:rsid w:val="00DB7833"/>
    <w:rsid w:val="00DC0AD5"/>
    <w:rsid w:val="00E546F6"/>
    <w:rsid w:val="00E703B3"/>
    <w:rsid w:val="00EC76E8"/>
    <w:rsid w:val="00ED0F35"/>
    <w:rsid w:val="00F04875"/>
    <w:rsid w:val="00F817B6"/>
    <w:rsid w:val="00FA267A"/>
    <w:rsid w:val="00FB3B5E"/>
    <w:rsid w:val="00FB737E"/>
    <w:rsid w:val="00FE060F"/>
    <w:rsid w:val="01D6474A"/>
    <w:rsid w:val="02D84BF3"/>
    <w:rsid w:val="03EC0539"/>
    <w:rsid w:val="041635D9"/>
    <w:rsid w:val="04622450"/>
    <w:rsid w:val="06830AAF"/>
    <w:rsid w:val="096C5023"/>
    <w:rsid w:val="0C02031B"/>
    <w:rsid w:val="0C803E0F"/>
    <w:rsid w:val="0C9153AE"/>
    <w:rsid w:val="0E0D231C"/>
    <w:rsid w:val="0E215936"/>
    <w:rsid w:val="0EE96807"/>
    <w:rsid w:val="150844AE"/>
    <w:rsid w:val="155129AC"/>
    <w:rsid w:val="22C95DFC"/>
    <w:rsid w:val="257419FF"/>
    <w:rsid w:val="259D0D2E"/>
    <w:rsid w:val="25C0407C"/>
    <w:rsid w:val="287A2D97"/>
    <w:rsid w:val="2A102783"/>
    <w:rsid w:val="2B195E43"/>
    <w:rsid w:val="2C3420E9"/>
    <w:rsid w:val="2D1E75E8"/>
    <w:rsid w:val="2E611AA8"/>
    <w:rsid w:val="2FFB7691"/>
    <w:rsid w:val="2FFF10AF"/>
    <w:rsid w:val="32A92D2C"/>
    <w:rsid w:val="333B1B82"/>
    <w:rsid w:val="37E942A7"/>
    <w:rsid w:val="399834B9"/>
    <w:rsid w:val="3A824DB6"/>
    <w:rsid w:val="3C1F6E55"/>
    <w:rsid w:val="3C8C1E3A"/>
    <w:rsid w:val="3D204412"/>
    <w:rsid w:val="3D6E0D16"/>
    <w:rsid w:val="3ED31CE5"/>
    <w:rsid w:val="3F756EA1"/>
    <w:rsid w:val="419868AD"/>
    <w:rsid w:val="44213A47"/>
    <w:rsid w:val="471D59A1"/>
    <w:rsid w:val="47541888"/>
    <w:rsid w:val="47C013DE"/>
    <w:rsid w:val="48624CD1"/>
    <w:rsid w:val="4AD978D9"/>
    <w:rsid w:val="4B491961"/>
    <w:rsid w:val="4BFA6684"/>
    <w:rsid w:val="4F974CFD"/>
    <w:rsid w:val="50024581"/>
    <w:rsid w:val="52025AE9"/>
    <w:rsid w:val="56305DC6"/>
    <w:rsid w:val="5B1278ED"/>
    <w:rsid w:val="5B8E7542"/>
    <w:rsid w:val="5D712F5B"/>
    <w:rsid w:val="5E340A9B"/>
    <w:rsid w:val="603D68F1"/>
    <w:rsid w:val="61F25ACE"/>
    <w:rsid w:val="640561AE"/>
    <w:rsid w:val="652B47EE"/>
    <w:rsid w:val="65CF7598"/>
    <w:rsid w:val="670C535B"/>
    <w:rsid w:val="67A71109"/>
    <w:rsid w:val="6AFC176B"/>
    <w:rsid w:val="710A1B5E"/>
    <w:rsid w:val="71CA5B61"/>
    <w:rsid w:val="73011B3E"/>
    <w:rsid w:val="76292F91"/>
    <w:rsid w:val="76C5219A"/>
    <w:rsid w:val="77C72D11"/>
    <w:rsid w:val="785F3220"/>
    <w:rsid w:val="79AC6370"/>
    <w:rsid w:val="79DC2123"/>
    <w:rsid w:val="79DE7E7D"/>
    <w:rsid w:val="7F2D24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743D12"/>
    <w:pPr>
      <w:widowControl w:val="0"/>
      <w:spacing w:line="560" w:lineRule="exact"/>
      <w:jc w:val="both"/>
    </w:pPr>
    <w:rPr>
      <w:rFonts w:eastAsia="仿宋_GB2312" w:cstheme="minorBidi"/>
      <w:kern w:val="2"/>
      <w:sz w:val="32"/>
      <w:szCs w:val="22"/>
    </w:rPr>
  </w:style>
  <w:style w:type="paragraph" w:styleId="1">
    <w:name w:val="heading 1"/>
    <w:basedOn w:val="a"/>
    <w:next w:val="a"/>
    <w:link w:val="1Char"/>
    <w:autoRedefine/>
    <w:uiPriority w:val="9"/>
    <w:qFormat/>
    <w:rsid w:val="00743D12"/>
    <w:pPr>
      <w:keepNext/>
      <w:keepLines/>
      <w:spacing w:line="640" w:lineRule="exact"/>
      <w:ind w:firstLineChars="200" w:firstLine="200"/>
      <w:outlineLvl w:val="0"/>
    </w:pPr>
    <w:rPr>
      <w:rFonts w:eastAsia="黑体"/>
      <w:bCs/>
      <w:kern w:val="44"/>
      <w:szCs w:val="44"/>
    </w:rPr>
  </w:style>
  <w:style w:type="paragraph" w:styleId="2">
    <w:name w:val="heading 2"/>
    <w:basedOn w:val="a"/>
    <w:next w:val="a"/>
    <w:link w:val="2Char"/>
    <w:autoRedefine/>
    <w:uiPriority w:val="9"/>
    <w:unhideWhenUsed/>
    <w:qFormat/>
    <w:rsid w:val="00743D12"/>
    <w:pPr>
      <w:keepNext/>
      <w:keepLines/>
      <w:spacing w:line="640" w:lineRule="exact"/>
      <w:outlineLvl w:val="1"/>
    </w:pPr>
    <w:rPr>
      <w:rFonts w:asciiTheme="majorHAnsi" w:eastAsia="楷体_GB2312"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uiPriority w:val="99"/>
    <w:semiHidden/>
    <w:unhideWhenUsed/>
    <w:qFormat/>
    <w:rsid w:val="00743D12"/>
    <w:pPr>
      <w:jc w:val="left"/>
    </w:pPr>
  </w:style>
  <w:style w:type="paragraph" w:styleId="a4">
    <w:name w:val="Body Text"/>
    <w:basedOn w:val="a"/>
    <w:link w:val="Char"/>
    <w:autoRedefine/>
    <w:qFormat/>
    <w:rsid w:val="00743D12"/>
    <w:pPr>
      <w:spacing w:before="137" w:line="240" w:lineRule="auto"/>
      <w:ind w:left="221"/>
      <w:jc w:val="left"/>
    </w:pPr>
    <w:rPr>
      <w:rFonts w:ascii="宋体" w:eastAsia="宋体" w:hAnsi="宋体"/>
      <w:kern w:val="0"/>
      <w:sz w:val="21"/>
      <w:szCs w:val="21"/>
      <w:lang w:eastAsia="en-US"/>
    </w:rPr>
  </w:style>
  <w:style w:type="paragraph" w:styleId="a5">
    <w:name w:val="footer"/>
    <w:basedOn w:val="a"/>
    <w:link w:val="Char0"/>
    <w:autoRedefine/>
    <w:uiPriority w:val="99"/>
    <w:unhideWhenUsed/>
    <w:qFormat/>
    <w:rsid w:val="00743D12"/>
    <w:pPr>
      <w:tabs>
        <w:tab w:val="center" w:pos="4153"/>
        <w:tab w:val="right" w:pos="8306"/>
      </w:tabs>
      <w:snapToGrid w:val="0"/>
      <w:jc w:val="left"/>
    </w:pPr>
    <w:rPr>
      <w:sz w:val="18"/>
      <w:szCs w:val="18"/>
    </w:rPr>
  </w:style>
  <w:style w:type="paragraph" w:styleId="a6">
    <w:name w:val="header"/>
    <w:basedOn w:val="a"/>
    <w:link w:val="Char1"/>
    <w:autoRedefine/>
    <w:uiPriority w:val="99"/>
    <w:unhideWhenUsed/>
    <w:qFormat/>
    <w:rsid w:val="00743D12"/>
    <w:pPr>
      <w:tabs>
        <w:tab w:val="center" w:pos="4153"/>
        <w:tab w:val="right" w:pos="8306"/>
      </w:tabs>
      <w:snapToGrid w:val="0"/>
      <w:spacing w:line="240" w:lineRule="atLeast"/>
      <w:jc w:val="center"/>
    </w:pPr>
    <w:rPr>
      <w:sz w:val="18"/>
      <w:szCs w:val="18"/>
    </w:rPr>
  </w:style>
  <w:style w:type="paragraph" w:styleId="a7">
    <w:name w:val="footnote text"/>
    <w:basedOn w:val="a"/>
    <w:autoRedefine/>
    <w:uiPriority w:val="99"/>
    <w:semiHidden/>
    <w:unhideWhenUsed/>
    <w:qFormat/>
    <w:rsid w:val="00743D12"/>
    <w:pPr>
      <w:snapToGrid w:val="0"/>
      <w:jc w:val="left"/>
    </w:pPr>
    <w:rPr>
      <w:sz w:val="18"/>
    </w:rPr>
  </w:style>
  <w:style w:type="paragraph" w:styleId="a8">
    <w:name w:val="Title"/>
    <w:basedOn w:val="a"/>
    <w:next w:val="a"/>
    <w:link w:val="Char2"/>
    <w:autoRedefine/>
    <w:uiPriority w:val="10"/>
    <w:qFormat/>
    <w:rsid w:val="00743D12"/>
    <w:pPr>
      <w:ind w:firstLineChars="200" w:firstLine="200"/>
      <w:outlineLvl w:val="0"/>
    </w:pPr>
    <w:rPr>
      <w:rFonts w:asciiTheme="majorHAnsi" w:eastAsia="楷体" w:hAnsiTheme="majorHAnsi" w:cstheme="majorBidi"/>
      <w:b/>
      <w:bCs/>
      <w:sz w:val="30"/>
      <w:szCs w:val="32"/>
    </w:rPr>
  </w:style>
  <w:style w:type="character" w:styleId="a9">
    <w:name w:val="annotation reference"/>
    <w:basedOn w:val="a0"/>
    <w:autoRedefine/>
    <w:uiPriority w:val="99"/>
    <w:semiHidden/>
    <w:unhideWhenUsed/>
    <w:qFormat/>
    <w:rsid w:val="00743D12"/>
    <w:rPr>
      <w:sz w:val="21"/>
      <w:szCs w:val="21"/>
    </w:rPr>
  </w:style>
  <w:style w:type="character" w:styleId="aa">
    <w:name w:val="footnote reference"/>
    <w:basedOn w:val="a0"/>
    <w:autoRedefine/>
    <w:uiPriority w:val="99"/>
    <w:semiHidden/>
    <w:unhideWhenUsed/>
    <w:qFormat/>
    <w:rsid w:val="00743D12"/>
    <w:rPr>
      <w:vertAlign w:val="superscript"/>
    </w:rPr>
  </w:style>
  <w:style w:type="character" w:customStyle="1" w:styleId="2Char">
    <w:name w:val="标题 2 Char"/>
    <w:basedOn w:val="a0"/>
    <w:link w:val="2"/>
    <w:autoRedefine/>
    <w:uiPriority w:val="9"/>
    <w:qFormat/>
    <w:rsid w:val="00743D12"/>
    <w:rPr>
      <w:rFonts w:asciiTheme="majorHAnsi" w:eastAsia="楷体_GB2312" w:hAnsiTheme="majorHAnsi" w:cstheme="majorBidi"/>
      <w:b/>
      <w:bCs/>
      <w:sz w:val="32"/>
      <w:szCs w:val="32"/>
    </w:rPr>
  </w:style>
  <w:style w:type="character" w:customStyle="1" w:styleId="Char">
    <w:name w:val="正文文本 Char"/>
    <w:basedOn w:val="a0"/>
    <w:link w:val="a4"/>
    <w:autoRedefine/>
    <w:uiPriority w:val="1"/>
    <w:qFormat/>
    <w:rsid w:val="00743D12"/>
    <w:rPr>
      <w:rFonts w:ascii="宋体" w:eastAsia="宋体" w:hAnsi="宋体"/>
      <w:kern w:val="0"/>
      <w:szCs w:val="21"/>
      <w:lang w:eastAsia="en-US"/>
    </w:rPr>
  </w:style>
  <w:style w:type="character" w:customStyle="1" w:styleId="1Char">
    <w:name w:val="标题 1 Char"/>
    <w:basedOn w:val="a0"/>
    <w:link w:val="1"/>
    <w:autoRedefine/>
    <w:uiPriority w:val="9"/>
    <w:qFormat/>
    <w:rsid w:val="00743D12"/>
    <w:rPr>
      <w:rFonts w:eastAsia="黑体"/>
      <w:bCs/>
      <w:kern w:val="44"/>
      <w:sz w:val="32"/>
      <w:szCs w:val="44"/>
    </w:rPr>
  </w:style>
  <w:style w:type="character" w:customStyle="1" w:styleId="Char2">
    <w:name w:val="标题 Char"/>
    <w:basedOn w:val="a0"/>
    <w:link w:val="a8"/>
    <w:autoRedefine/>
    <w:uiPriority w:val="10"/>
    <w:qFormat/>
    <w:rsid w:val="00743D12"/>
    <w:rPr>
      <w:rFonts w:asciiTheme="majorHAnsi" w:eastAsia="楷体" w:hAnsiTheme="majorHAnsi" w:cstheme="majorBidi"/>
      <w:b/>
      <w:bCs/>
      <w:sz w:val="30"/>
      <w:szCs w:val="32"/>
    </w:rPr>
  </w:style>
  <w:style w:type="character" w:customStyle="1" w:styleId="Char0">
    <w:name w:val="页脚 Char"/>
    <w:basedOn w:val="a0"/>
    <w:link w:val="a5"/>
    <w:autoRedefine/>
    <w:uiPriority w:val="99"/>
    <w:qFormat/>
    <w:rsid w:val="00743D12"/>
    <w:rPr>
      <w:sz w:val="18"/>
      <w:szCs w:val="18"/>
    </w:rPr>
  </w:style>
  <w:style w:type="character" w:customStyle="1" w:styleId="Char1">
    <w:name w:val="页眉 Char"/>
    <w:basedOn w:val="a0"/>
    <w:link w:val="a6"/>
    <w:autoRedefine/>
    <w:uiPriority w:val="99"/>
    <w:qFormat/>
    <w:rsid w:val="00743D12"/>
    <w:rPr>
      <w:rFonts w:ascii="Times New Roman" w:eastAsia="仿宋_GB2312" w:hAnsi="Times New Roman"/>
      <w:sz w:val="18"/>
      <w:szCs w:val="18"/>
    </w:rPr>
  </w:style>
  <w:style w:type="table" w:customStyle="1" w:styleId="TableNormal">
    <w:name w:val="Table Normal"/>
    <w:autoRedefine/>
    <w:uiPriority w:val="2"/>
    <w:semiHidden/>
    <w:unhideWhenUsed/>
    <w:qFormat/>
    <w:rsid w:val="00743D12"/>
    <w:rPr>
      <w:rFonts w:ascii="Arial" w:hAnsi="Arial" w:cs="Arial"/>
      <w:snapToGrid w:val="0"/>
      <w:color w:val="000000"/>
      <w:szCs w:val="21"/>
      <w:lang w:eastAsia="en-US"/>
    </w:rPr>
    <w:tblPr>
      <w:tblCellMar>
        <w:top w:w="0" w:type="dxa"/>
        <w:left w:w="0" w:type="dxa"/>
        <w:bottom w:w="0" w:type="dxa"/>
        <w:right w:w="0" w:type="dxa"/>
      </w:tblCellMar>
    </w:tblPr>
  </w:style>
  <w:style w:type="paragraph" w:customStyle="1" w:styleId="TableParagraph">
    <w:name w:val="Table Paragraph"/>
    <w:basedOn w:val="a"/>
    <w:autoRedefine/>
    <w:uiPriority w:val="1"/>
    <w:qFormat/>
    <w:rsid w:val="00743D12"/>
    <w:pPr>
      <w:spacing w:line="257" w:lineRule="exact"/>
      <w:ind w:left="108"/>
      <w:jc w:val="center"/>
    </w:pPr>
    <w:rPr>
      <w:rFonts w:asciiTheme="minorHAnsi" w:eastAsiaTheme="minorEastAsia" w:hAnsiTheme="minorHAnsi"/>
      <w:kern w:val="0"/>
      <w:sz w:val="22"/>
      <w:lang w:eastAsia="en-US"/>
    </w:rPr>
  </w:style>
  <w:style w:type="paragraph" w:customStyle="1" w:styleId="10">
    <w:name w:val="修订1"/>
    <w:autoRedefine/>
    <w:hidden/>
    <w:uiPriority w:val="99"/>
    <w:unhideWhenUsed/>
    <w:qFormat/>
    <w:rsid w:val="00743D12"/>
    <w:rPr>
      <w:rFonts w:eastAsia="仿宋_GB2312" w:cstheme="minorBidi"/>
      <w:kern w:val="2"/>
      <w:sz w:val="32"/>
      <w:szCs w:val="22"/>
    </w:rPr>
  </w:style>
  <w:style w:type="paragraph" w:customStyle="1" w:styleId="20">
    <w:name w:val="修订2"/>
    <w:autoRedefine/>
    <w:hidden/>
    <w:uiPriority w:val="99"/>
    <w:unhideWhenUsed/>
    <w:qFormat/>
    <w:rsid w:val="00743D12"/>
    <w:rPr>
      <w:rFonts w:eastAsia="仿宋_GB2312" w:cstheme="minorBidi"/>
      <w:kern w:val="2"/>
      <w:sz w:val="3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2AD597-F953-4862-9225-B178A66A7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1442</Characters>
  <Application>Microsoft Office Word</Application>
  <DocSecurity>4</DocSecurity>
  <Lines>12</Lines>
  <Paragraphs>3</Paragraphs>
  <ScaleCrop>false</ScaleCrop>
  <Company>CNSTOCK</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应伟 汪</dc:creator>
  <cp:lastModifiedBy>ZHONGM</cp:lastModifiedBy>
  <cp:revision>2</cp:revision>
  <cp:lastPrinted>2024-03-25T07:53:00Z</cp:lastPrinted>
  <dcterms:created xsi:type="dcterms:W3CDTF">2024-04-17T16:01:00Z</dcterms:created>
  <dcterms:modified xsi:type="dcterms:W3CDTF">2024-04-17T16:01:00Z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DFFBE33C8DC54F14B25BC4A6E5766662_13</vt:lpwstr>
  </property>
</Properties>
</file>