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5B" w:rsidRDefault="00857695">
      <w:pPr>
        <w:spacing w:after="240"/>
        <w:jc w:val="center"/>
      </w:pPr>
      <w:r>
        <w:rPr>
          <w:rFonts w:ascii="宋体" w:eastAsia="宋体" w:cs="宋体"/>
          <w:b/>
          <w:bCs/>
          <w:sz w:val="48"/>
          <w:szCs w:val="48"/>
        </w:rPr>
        <w:t>鹏华永平6个月定期开放债券型证券投资基金基金经理变更公告</w:t>
      </w:r>
    </w:p>
    <w:p w:rsidR="0083585B" w:rsidRDefault="00857695">
      <w:pPr>
        <w:spacing w:after="240"/>
      </w:pPr>
      <w: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t> </w:t>
      </w:r>
    </w:p>
    <w:p w:rsidR="0083585B" w:rsidRDefault="00857695">
      <w:pPr>
        <w:spacing w:after="240"/>
      </w:pPr>
      <w:r>
        <w:t> </w:t>
      </w:r>
    </w:p>
    <w:p w:rsidR="0083585B" w:rsidRDefault="00857695">
      <w:pPr>
        <w:spacing w:before="240" w:after="240"/>
      </w:pPr>
      <w: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rPr>
          <w:rFonts w:ascii="宋体" w:eastAsia="宋体" w:cs="宋体"/>
          <w:b/>
          <w:bCs/>
          <w:sz w:val="30"/>
          <w:szCs w:val="30"/>
        </w:rPr>
        <w:t> </w:t>
      </w:r>
    </w:p>
    <w:p w:rsidR="0083585B" w:rsidRDefault="00857695">
      <w:pPr>
        <w:spacing w:after="240"/>
      </w:pPr>
      <w:r>
        <w:t> </w:t>
      </w:r>
    </w:p>
    <w:p w:rsidR="0083585B" w:rsidRDefault="00857695">
      <w:pPr>
        <w:spacing w:after="240"/>
      </w:pPr>
      <w:r>
        <w:t> </w:t>
      </w:r>
    </w:p>
    <w:p w:rsidR="0083585B" w:rsidRDefault="00857695">
      <w:pPr>
        <w:spacing w:after="240"/>
      </w:pPr>
      <w:r>
        <w:t> </w:t>
      </w:r>
    </w:p>
    <w:p w:rsidR="0083585B" w:rsidRDefault="00857695">
      <w:pPr>
        <w:spacing w:after="240"/>
        <w:jc w:val="center"/>
      </w:pPr>
      <w:r>
        <w:rPr>
          <w:rFonts w:ascii="宋体" w:eastAsia="宋体" w:cs="宋体"/>
          <w:b/>
          <w:bCs/>
          <w:sz w:val="28"/>
          <w:szCs w:val="28"/>
        </w:rPr>
        <w:t>公告送出日期：2024年04月18日</w:t>
      </w:r>
    </w:p>
    <w:p w:rsidR="0083585B" w:rsidRDefault="00857695">
      <w:pPr>
        <w:sectPr w:rsidR="0083585B">
          <w:footerReference w:type="default" r:id="rId6"/>
          <w:pgSz w:w="11906" w:h="16838"/>
          <w:pgMar w:top="1440" w:right="1800" w:bottom="1440" w:left="1800" w:header="708" w:footer="708" w:gutter="0"/>
          <w:cols w:space="720"/>
          <w:docGrid w:linePitch="360"/>
        </w:sectPr>
      </w:pPr>
      <w:r>
        <w:rPr>
          <w:vanish/>
        </w:rPr>
        <w:t> </w:t>
      </w:r>
    </w:p>
    <w:p w:rsidR="0083585B" w:rsidRDefault="00857695">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lastRenderedPageBreak/>
        <w:t>1.公告基本信息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3820"/>
        <w:gridCol w:w="4475"/>
      </w:tblGrid>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基金名称</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鹏华永平6个月定期开放债券型证券投资基金</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基金简称</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鹏华永平6个月定开债券</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基金主代码</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015653</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基金管理人名称</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鹏华基金管理有限公司</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公告依据</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《公开募集证券投资基金信息披露管理办法》、《基金管理公司投资管理人员管理指导意见》等相关法规的规定。</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基金经理变更类型</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增聘基金经理，基金经理离任</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新任基金经理姓名</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张羊城</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共同管理本基金的其他基金经理姓名</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w:t>
            </w:r>
          </w:p>
        </w:tc>
      </w:tr>
      <w:tr w:rsidR="0083585B" w:rsidTr="00F43926">
        <w:trPr>
          <w:trHeight w:val="360"/>
        </w:trPr>
        <w:tc>
          <w:tcPr>
            <w:tcW w:w="382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离任基金经理姓名</w:t>
            </w:r>
          </w:p>
        </w:tc>
        <w:tc>
          <w:tcPr>
            <w:tcW w:w="447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祝松、邓明明</w:t>
            </w:r>
          </w:p>
        </w:tc>
      </w:tr>
    </w:tbl>
    <w:p w:rsidR="0083585B" w:rsidRDefault="00857695">
      <w:pPr>
        <w:spacing w:line="360" w:lineRule="auto"/>
        <w:rPr>
          <w:rFonts w:ascii="宋体" w:eastAsia="宋体" w:cs="宋体"/>
          <w:sz w:val="21"/>
          <w:szCs w:val="21"/>
        </w:rPr>
      </w:pPr>
      <w:r>
        <w:rPr>
          <w:rFonts w:ascii="宋体" w:eastAsia="宋体" w:cs="宋体"/>
          <w:sz w:val="21"/>
          <w:szCs w:val="21"/>
        </w:rPr>
        <w:t>注： -</w:t>
      </w:r>
    </w:p>
    <w:p w:rsidR="0083585B" w:rsidRDefault="00857695">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t>2.新任基金经理的相关信息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3716"/>
        <w:gridCol w:w="1191"/>
        <w:gridCol w:w="1117"/>
        <w:gridCol w:w="1154"/>
        <w:gridCol w:w="1117"/>
      </w:tblGrid>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新任基金经理姓名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张羊城</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任职日期</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2024年04月18日</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证券从业年限</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7年</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证券投资管理从业年限</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7年</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过往从业经历</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张羊城女士，国籍中国，经济学硕士，7年证券从业经验。2017年6月加盟鹏华基金管理有限公司，历任集中交易室债券交易员、公募债券投资部债券研究员、现金投资部基金经理助理。现担任现金投资部基金经理。2023年11月担任鹏华0-5年利率发起式债券基金经理，2023年11月担任鹏华中债1-3年农发行债券指数基金经理，2023年11月担任鹏华中债3-5年国开行债券指数基金经理，2023年11月担任0-4地债基金经理，2023年11月担任5年地债基金经理，张羊城具备基金从业资格。</w:t>
            </w:r>
          </w:p>
        </w:tc>
      </w:tr>
      <w:tr w:rsidR="0083585B">
        <w:trPr>
          <w:trHeight w:val="360"/>
        </w:trPr>
        <w:tc>
          <w:tcPr>
            <w:tcW w:w="4380" w:type="dxa"/>
            <w:vMerge w:val="restart"/>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其中：管理过公募基金的名称及期间</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基金主代码</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基金名称</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任职日期</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离任日期</w:t>
            </w:r>
          </w:p>
        </w:tc>
      </w:tr>
      <w:tr w:rsidR="0083585B">
        <w:trPr>
          <w:trHeight w:val="360"/>
        </w:trPr>
        <w:tc>
          <w:tcPr>
            <w:tcW w:w="5084" w:type="dxa"/>
            <w:vMerge/>
            <w:tcBorders>
              <w:top w:val="single" w:sz="6" w:space="0" w:color="000000"/>
              <w:left w:val="single" w:sz="6" w:space="0" w:color="000000"/>
              <w:bottom w:val="single" w:sz="6" w:space="0" w:color="000000"/>
              <w:right w:val="single" w:sz="6" w:space="0" w:color="000000"/>
            </w:tcBorders>
            <w:vAlign w:val="center"/>
          </w:tcPr>
          <w:p w:rsidR="0083585B" w:rsidRDefault="0083585B"/>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008040</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鹏华0-5年利率债债券型发起式证券投资基金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2023年11月17日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3585B">
            <w:pPr>
              <w:rPr>
                <w:rFonts w:ascii="宋体" w:eastAsia="宋体" w:cs="宋体"/>
                <w:color w:val="000000"/>
                <w:sz w:val="21"/>
                <w:szCs w:val="21"/>
              </w:rPr>
            </w:pPr>
          </w:p>
        </w:tc>
      </w:tr>
      <w:tr w:rsidR="0083585B">
        <w:trPr>
          <w:trHeight w:val="360"/>
        </w:trPr>
        <w:tc>
          <w:tcPr>
            <w:tcW w:w="5084" w:type="dxa"/>
            <w:vMerge/>
            <w:tcBorders>
              <w:top w:val="single" w:sz="6" w:space="0" w:color="000000"/>
              <w:left w:val="single" w:sz="6" w:space="0" w:color="000000"/>
              <w:bottom w:val="single" w:sz="6" w:space="0" w:color="000000"/>
              <w:right w:val="single" w:sz="6" w:space="0" w:color="000000"/>
            </w:tcBorders>
            <w:vAlign w:val="center"/>
          </w:tcPr>
          <w:p w:rsidR="0083585B" w:rsidRDefault="0083585B"/>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009702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鹏华中债1-3年农发行债券指数证券投资基金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2023年11月17日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3585B">
            <w:pPr>
              <w:rPr>
                <w:rFonts w:ascii="宋体" w:eastAsia="宋体" w:cs="宋体"/>
                <w:color w:val="000000"/>
                <w:sz w:val="21"/>
                <w:szCs w:val="21"/>
              </w:rPr>
            </w:pPr>
          </w:p>
        </w:tc>
      </w:tr>
      <w:tr w:rsidR="0083585B">
        <w:trPr>
          <w:trHeight w:val="360"/>
        </w:trPr>
        <w:tc>
          <w:tcPr>
            <w:tcW w:w="5084" w:type="dxa"/>
            <w:vMerge/>
            <w:tcBorders>
              <w:top w:val="single" w:sz="6" w:space="0" w:color="000000"/>
              <w:left w:val="single" w:sz="6" w:space="0" w:color="000000"/>
              <w:bottom w:val="single" w:sz="6" w:space="0" w:color="000000"/>
              <w:right w:val="single" w:sz="6" w:space="0" w:color="000000"/>
            </w:tcBorders>
            <w:vAlign w:val="center"/>
          </w:tcPr>
          <w:p w:rsidR="0083585B" w:rsidRDefault="0083585B"/>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008956</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鹏华中债</w:t>
            </w:r>
            <w:r>
              <w:rPr>
                <w:rFonts w:ascii="宋体" w:eastAsia="宋体" w:cs="宋体"/>
                <w:color w:val="000000"/>
                <w:sz w:val="21"/>
                <w:szCs w:val="21"/>
              </w:rPr>
              <w:lastRenderedPageBreak/>
              <w:t>3-5年国开行债券指数证券投资基金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lastRenderedPageBreak/>
              <w:t>2023年</w:t>
            </w:r>
            <w:r>
              <w:rPr>
                <w:rFonts w:ascii="宋体" w:eastAsia="宋体" w:cs="宋体"/>
                <w:color w:val="000000"/>
                <w:sz w:val="21"/>
                <w:szCs w:val="21"/>
              </w:rPr>
              <w:lastRenderedPageBreak/>
              <w:t>11月17日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3585B">
            <w:pPr>
              <w:rPr>
                <w:rFonts w:ascii="宋体" w:eastAsia="宋体" w:cs="宋体"/>
                <w:color w:val="000000"/>
                <w:sz w:val="21"/>
                <w:szCs w:val="21"/>
              </w:rPr>
            </w:pPr>
          </w:p>
        </w:tc>
      </w:tr>
      <w:tr w:rsidR="0083585B">
        <w:trPr>
          <w:trHeight w:val="360"/>
        </w:trPr>
        <w:tc>
          <w:tcPr>
            <w:tcW w:w="5084" w:type="dxa"/>
            <w:vMerge/>
            <w:tcBorders>
              <w:top w:val="single" w:sz="6" w:space="0" w:color="000000"/>
              <w:left w:val="single" w:sz="6" w:space="0" w:color="000000"/>
              <w:bottom w:val="single" w:sz="6" w:space="0" w:color="000000"/>
              <w:right w:val="single" w:sz="6" w:space="0" w:color="000000"/>
            </w:tcBorders>
            <w:vAlign w:val="center"/>
          </w:tcPr>
          <w:p w:rsidR="0083585B" w:rsidRDefault="0083585B"/>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159816</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鹏华中证0-4年期地方政府债交易型开放式指数证券投资基金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2023年11月17日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3585B">
            <w:pPr>
              <w:rPr>
                <w:rFonts w:ascii="宋体" w:eastAsia="宋体" w:cs="宋体"/>
                <w:color w:val="000000"/>
                <w:sz w:val="21"/>
                <w:szCs w:val="21"/>
              </w:rPr>
            </w:pPr>
          </w:p>
        </w:tc>
      </w:tr>
      <w:tr w:rsidR="0083585B">
        <w:trPr>
          <w:trHeight w:val="360"/>
        </w:trPr>
        <w:tc>
          <w:tcPr>
            <w:tcW w:w="5084" w:type="dxa"/>
            <w:vMerge/>
            <w:tcBorders>
              <w:top w:val="single" w:sz="6" w:space="0" w:color="000000"/>
              <w:left w:val="single" w:sz="6" w:space="0" w:color="000000"/>
              <w:bottom w:val="single" w:sz="6" w:space="0" w:color="000000"/>
              <w:right w:val="single" w:sz="6" w:space="0" w:color="000000"/>
            </w:tcBorders>
            <w:vAlign w:val="center"/>
          </w:tcPr>
          <w:p w:rsidR="0083585B" w:rsidRDefault="0083585B"/>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159972</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鹏华中证5年期地方政府债交易型开放式指数证券投资基金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2023年11月17日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3585B">
            <w:pPr>
              <w:rPr>
                <w:rFonts w:ascii="宋体" w:eastAsia="宋体" w:cs="宋体"/>
                <w:color w:val="000000"/>
                <w:sz w:val="21"/>
                <w:szCs w:val="21"/>
              </w:rPr>
            </w:pP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是否曾被监管机构予以行政处罚或采取行政监管措施</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否</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是否已取得基金从业资格</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取得的其他相关从业资格</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否</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国籍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中国</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学历、学位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硕士研究生</w:t>
            </w:r>
          </w:p>
        </w:tc>
      </w:tr>
      <w:tr w:rsidR="0083585B">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是否已按规定在中国基金业协会注册/登记</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w:t>
            </w:r>
          </w:p>
        </w:tc>
      </w:tr>
    </w:tbl>
    <w:p w:rsidR="0083585B" w:rsidRDefault="00857695">
      <w:pPr>
        <w:spacing w:line="360" w:lineRule="auto"/>
        <w:rPr>
          <w:rFonts w:ascii="宋体" w:eastAsia="宋体" w:cs="宋体"/>
          <w:sz w:val="21"/>
          <w:szCs w:val="21"/>
        </w:rPr>
      </w:pPr>
      <w:r>
        <w:rPr>
          <w:rFonts w:ascii="宋体" w:eastAsia="宋体" w:cs="宋体"/>
          <w:sz w:val="21"/>
          <w:szCs w:val="21"/>
        </w:rPr>
        <w:t xml:space="preserve">注：1. 任职日期和离任日期均指公司作出决定后正式对外公告之日；担任新成立基金基金经理的，任职日期为基金合同生效日。 </w:t>
      </w:r>
    </w:p>
    <w:p w:rsidR="0083585B" w:rsidRDefault="00857695">
      <w:pPr>
        <w:spacing w:line="360" w:lineRule="auto"/>
        <w:rPr>
          <w:rFonts w:ascii="宋体" w:eastAsia="宋体" w:cs="宋体"/>
          <w:sz w:val="21"/>
          <w:szCs w:val="21"/>
        </w:rPr>
      </w:pPr>
      <w:r>
        <w:rPr>
          <w:rFonts w:ascii="宋体" w:eastAsia="宋体" w:cs="宋体"/>
          <w:sz w:val="21"/>
          <w:szCs w:val="21"/>
        </w:rPr>
        <w:t>2. 证券从业的含义遵从行业协会关于从业人员资格管理办法的相关规定。</w:t>
      </w:r>
    </w:p>
    <w:p w:rsidR="0083585B" w:rsidRDefault="00857695">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t>3.离任基金经理的相关信息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4564"/>
        <w:gridCol w:w="3731"/>
      </w:tblGrid>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离任基金经理姓名</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祝松</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离任原因</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公司工作安排</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离任日期</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2024年04月18日</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是否转任本公司其他工作岗位</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否</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是否已按规定在中国基金业协会办理变更手续</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是否已按规定在中国基金业协会办理注销手续</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否</w:t>
            </w:r>
          </w:p>
        </w:tc>
      </w:tr>
    </w:tbl>
    <w:p w:rsidR="0083585B" w:rsidRDefault="00857695">
      <w:pPr>
        <w:spacing w:line="360" w:lineRule="auto"/>
        <w:rPr>
          <w:rFonts w:ascii="宋体" w:eastAsia="宋体" w:cs="宋体"/>
          <w:sz w:val="21"/>
          <w:szCs w:val="21"/>
        </w:rPr>
      </w:pPr>
      <w:r>
        <w:rPr>
          <w:rFonts w:ascii="宋体" w:eastAsia="宋体" w:cs="宋体"/>
          <w:sz w:val="21"/>
          <w:szCs w:val="21"/>
        </w:rPr>
        <w:t>注：祝松仍担任鹏华永盛一年定期开放债券型证券投资基金、鹏华丰诚债券型证券投资基金、鹏华尊和一年定期开放债券型发起式证券投资基金、鹏华产业债债券型证券投资基金、鹏华丰康债券型证券投资基金、鹏华永泰18个月定期开放债券型证券投资基金、鹏华丰泽债券型证券投资基金（LOF） 、鹏华丰收债券型证券投资基金的基金经理。</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4564"/>
        <w:gridCol w:w="3731"/>
      </w:tblGrid>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离任基金经理姓名</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邓明明</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离任原因</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公司工作安排</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离任日期</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2024年04月18日</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是否转任本公司其他工作岗位</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否</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是否已按规定在中国基金业协会办理变更手续</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w:t>
            </w:r>
          </w:p>
        </w:tc>
      </w:tr>
      <w:tr w:rsidR="0083585B">
        <w:trPr>
          <w:trHeight w:val="360"/>
        </w:trPr>
        <w:tc>
          <w:tcPr>
            <w:tcW w:w="48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是否已按规定在中国基金业协会办理注销手续</w:t>
            </w:r>
          </w:p>
        </w:tc>
        <w:tc>
          <w:tcPr>
            <w:tcW w:w="393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83585B" w:rsidRDefault="00857695">
            <w:pPr>
              <w:rPr>
                <w:rFonts w:ascii="宋体" w:eastAsia="宋体" w:cs="宋体"/>
                <w:color w:val="000000"/>
                <w:sz w:val="21"/>
                <w:szCs w:val="21"/>
              </w:rPr>
            </w:pPr>
            <w:r>
              <w:rPr>
                <w:rFonts w:ascii="宋体" w:eastAsia="宋体" w:cs="宋体"/>
                <w:color w:val="000000"/>
                <w:sz w:val="21"/>
                <w:szCs w:val="21"/>
              </w:rPr>
              <w:t>否</w:t>
            </w:r>
          </w:p>
        </w:tc>
      </w:tr>
    </w:tbl>
    <w:p w:rsidR="0083585B" w:rsidRDefault="00857695">
      <w:pPr>
        <w:spacing w:line="360" w:lineRule="auto"/>
        <w:rPr>
          <w:rFonts w:ascii="宋体" w:eastAsia="宋体" w:cs="宋体"/>
          <w:sz w:val="21"/>
          <w:szCs w:val="21"/>
        </w:rPr>
      </w:pPr>
      <w:r>
        <w:rPr>
          <w:rFonts w:ascii="宋体" w:eastAsia="宋体" w:cs="宋体"/>
          <w:sz w:val="21"/>
          <w:szCs w:val="21"/>
        </w:rPr>
        <w:t>注：邓明明仍担任鹏华永鑫一年定期开放债券型证券投资基金、鹏华金享混合型证券投资基金、鹏华永安18个月定期开放债券型证券投资基金、鹏华永宁3个月定期开放债券型证券投资基金、鹏华锦润86个月定期开放债券型证券投资基金、鹏华金利债券型证券投资基金、鹏华锦利两年定期开放债券型证券投资基金、鹏华丰泽债券型证券投资基金（LOF）的基金经理。</w:t>
      </w:r>
      <w:bookmarkStart w:id="0" w:name="_GoBack"/>
      <w:bookmarkEnd w:id="0"/>
    </w:p>
    <w:p w:rsidR="0083585B" w:rsidRDefault="00857695">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t>4.其他需要说明的事项</w:t>
      </w:r>
    </w:p>
    <w:p w:rsidR="0083585B" w:rsidRDefault="00857695">
      <w:pPr>
        <w:spacing w:line="360" w:lineRule="auto"/>
        <w:ind w:firstLine="420"/>
      </w:pPr>
      <w:r>
        <w:rPr>
          <w:rFonts w:ascii="宋体" w:eastAsia="宋体" w:cs="宋体"/>
          <w:sz w:val="21"/>
          <w:szCs w:val="21"/>
        </w:rPr>
        <w:t>上述事项已按规定向中国证券投资基金业协会办理相关手续。</w:t>
      </w:r>
    </w:p>
    <w:p w:rsidR="0083585B" w:rsidRDefault="00857695">
      <w:pPr>
        <w:spacing w:line="360" w:lineRule="auto"/>
        <w:ind w:firstLine="420"/>
      </w:pPr>
      <w:r>
        <w:rPr>
          <w:rFonts w:ascii="宋体" w:eastAsia="宋体" w:cs="宋体"/>
        </w:rPr>
        <w:t> </w:t>
      </w:r>
    </w:p>
    <w:p w:rsidR="0083585B" w:rsidRDefault="00857695">
      <w:pPr>
        <w:spacing w:line="360" w:lineRule="auto"/>
        <w:ind w:firstLine="420"/>
      </w:pPr>
      <w:r>
        <w:rPr>
          <w:rFonts w:ascii="宋体" w:eastAsia="宋体" w:cs="宋体"/>
        </w:rPr>
        <w:t> </w:t>
      </w:r>
    </w:p>
    <w:p w:rsidR="0083585B" w:rsidRDefault="00857695">
      <w:pPr>
        <w:spacing w:line="360" w:lineRule="auto"/>
        <w:jc w:val="right"/>
      </w:pPr>
      <w:r>
        <w:rPr>
          <w:rFonts w:ascii="宋体" w:eastAsia="宋体" w:cs="宋体"/>
          <w:sz w:val="21"/>
          <w:szCs w:val="21"/>
        </w:rPr>
        <w:t>鹏华基金管理有限公司</w:t>
      </w:r>
    </w:p>
    <w:p w:rsidR="0083585B" w:rsidRDefault="00857695">
      <w:pPr>
        <w:spacing w:line="360" w:lineRule="auto"/>
        <w:jc w:val="right"/>
      </w:pPr>
      <w:r>
        <w:rPr>
          <w:rFonts w:ascii="宋体" w:eastAsia="宋体" w:cs="宋体"/>
          <w:sz w:val="21"/>
          <w:szCs w:val="21"/>
        </w:rPr>
        <w:t>2024年04月18日</w:t>
      </w:r>
    </w:p>
    <w:p w:rsidR="0083585B" w:rsidRDefault="0083585B"/>
    <w:sectPr w:rsidR="0083585B" w:rsidSect="00210362">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F9" w:rsidRDefault="00744CF9">
      <w:r>
        <w:separator/>
      </w:r>
    </w:p>
  </w:endnote>
  <w:endnote w:type="continuationSeparator" w:id="0">
    <w:p w:rsidR="00744CF9" w:rsidRDefault="00744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5B" w:rsidRDefault="00210362">
    <w:pPr>
      <w:jc w:val="center"/>
    </w:pPr>
    <w:r>
      <w:rPr>
        <w:rFonts w:ascii="宋体" w:eastAsia="宋体" w:cs="宋体"/>
        <w:sz w:val="18"/>
      </w:rPr>
      <w:fldChar w:fldCharType="begin"/>
    </w:r>
    <w:r w:rsidR="00857695">
      <w:rPr>
        <w:rFonts w:ascii="宋体" w:eastAsia="宋体" w:cs="宋体"/>
        <w:sz w:val="18"/>
      </w:rPr>
      <w:instrText xml:space="preserve"> PAGE </w:instrText>
    </w:r>
    <w:r>
      <w:rPr>
        <w:rFonts w:ascii="宋体" w:eastAsia="宋体" w:cs="宋体"/>
        <w:sz w:val="18"/>
      </w:rPr>
      <w:fldChar w:fldCharType="separate"/>
    </w:r>
    <w:r w:rsidR="00B25992">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F9" w:rsidRDefault="00744CF9">
      <w:r>
        <w:separator/>
      </w:r>
    </w:p>
  </w:footnote>
  <w:footnote w:type="continuationSeparator" w:id="0">
    <w:p w:rsidR="00744CF9" w:rsidRDefault="00744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spaceForUL/>
    <w:growAutofit/>
    <w:useFELayout/>
    <w:doNotUseIndentAsNumberingTabStop/>
    <w:useAltKinsokuLineBreakRules/>
    <w:splitPgBreakAndParaMark/>
  </w:compat>
  <w:rsids>
    <w:rsidRoot w:val="0083585B"/>
    <w:rsid w:val="00171880"/>
    <w:rsid w:val="00210362"/>
    <w:rsid w:val="00744CF9"/>
    <w:rsid w:val="0083585B"/>
    <w:rsid w:val="00857695"/>
    <w:rsid w:val="00B25992"/>
    <w:rsid w:val="00C8722B"/>
    <w:rsid w:val="00E5193F"/>
    <w:rsid w:val="00F43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0362"/>
    <w:rPr>
      <w:rFonts w:eastAsia="Times New Roman"/>
      <w:sz w:val="24"/>
      <w:szCs w:val="24"/>
    </w:rPr>
  </w:style>
  <w:style w:type="paragraph" w:styleId="1">
    <w:name w:val="heading 1"/>
    <w:basedOn w:val="a"/>
    <w:next w:val="a"/>
    <w:rsid w:val="00210362"/>
    <w:pPr>
      <w:keepNext/>
      <w:keepLines/>
      <w:spacing w:before="340" w:after="330" w:line="578" w:lineRule="auto"/>
      <w:outlineLvl w:val="0"/>
    </w:pPr>
    <w:rPr>
      <w:b/>
      <w:bCs/>
      <w:kern w:val="44"/>
      <w:sz w:val="44"/>
    </w:rPr>
  </w:style>
  <w:style w:type="paragraph" w:styleId="2">
    <w:name w:val="heading 2"/>
    <w:basedOn w:val="a"/>
    <w:next w:val="a"/>
    <w:rsid w:val="00210362"/>
    <w:pPr>
      <w:keepNext/>
      <w:spacing w:before="240" w:after="60"/>
      <w:outlineLvl w:val="1"/>
    </w:pPr>
    <w:rPr>
      <w:rFonts w:ascii="Arial" w:hAnsi="Arial" w:cs="Arial"/>
      <w:b/>
      <w:bCs/>
      <w:i/>
      <w:iCs/>
      <w:sz w:val="28"/>
      <w:szCs w:val="28"/>
    </w:rPr>
  </w:style>
  <w:style w:type="paragraph" w:styleId="3">
    <w:name w:val="heading 3"/>
    <w:basedOn w:val="a"/>
    <w:next w:val="a"/>
    <w:rsid w:val="0021036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210362"/>
    <w:pPr>
      <w:spacing w:line="360" w:lineRule="auto"/>
    </w:pPr>
    <w:rPr>
      <w:rFonts w:ascii="宋体" w:eastAsia="宋体" w:cs="宋体"/>
      <w:b/>
      <w:sz w:val="21"/>
    </w:rPr>
  </w:style>
  <w:style w:type="paragraph" w:styleId="20">
    <w:name w:val="toc 2"/>
    <w:basedOn w:val="a"/>
    <w:next w:val="a"/>
    <w:autoRedefine/>
    <w:rsid w:val="00210362"/>
    <w:pPr>
      <w:ind w:left="420"/>
    </w:pPr>
  </w:style>
  <w:style w:type="paragraph" w:styleId="30">
    <w:name w:val="toc 3"/>
    <w:basedOn w:val="a"/>
    <w:next w:val="a"/>
    <w:autoRedefine/>
    <w:rsid w:val="00210362"/>
    <w:pPr>
      <w:ind w:left="840"/>
    </w:pPr>
  </w:style>
  <w:style w:type="paragraph" w:styleId="4">
    <w:name w:val="toc 4"/>
    <w:basedOn w:val="a"/>
    <w:next w:val="a"/>
    <w:autoRedefine/>
    <w:rsid w:val="00210362"/>
    <w:pPr>
      <w:ind w:left="1260"/>
    </w:pPr>
  </w:style>
  <w:style w:type="paragraph" w:styleId="5">
    <w:name w:val="toc 5"/>
    <w:basedOn w:val="a"/>
    <w:next w:val="a"/>
    <w:autoRedefine/>
    <w:rsid w:val="00210362"/>
    <w:pPr>
      <w:ind w:left="1680"/>
    </w:pPr>
  </w:style>
  <w:style w:type="paragraph" w:styleId="a3">
    <w:name w:val="header"/>
    <w:basedOn w:val="a"/>
    <w:rsid w:val="00210362"/>
    <w:pPr>
      <w:pBdr>
        <w:bottom w:val="single" w:sz="6" w:space="1" w:color="auto"/>
      </w:pBdr>
      <w:tabs>
        <w:tab w:val="center" w:pos="4153"/>
        <w:tab w:val="right" w:pos="8307"/>
      </w:tabs>
      <w:snapToGrid w:val="0"/>
      <w:jc w:val="center"/>
    </w:pPr>
    <w:rPr>
      <w:sz w:val="18"/>
    </w:rPr>
  </w:style>
  <w:style w:type="paragraph" w:styleId="a4">
    <w:name w:val="footer"/>
    <w:basedOn w:val="a"/>
    <w:rsid w:val="00210362"/>
    <w:pPr>
      <w:tabs>
        <w:tab w:val="center" w:pos="4153"/>
        <w:tab w:val="right" w:pos="8307"/>
      </w:tabs>
      <w:snapToGrid w:val="0"/>
    </w:pPr>
    <w:rPr>
      <w:sz w:val="18"/>
    </w:rPr>
  </w:style>
  <w:style w:type="character" w:styleId="a5">
    <w:name w:val="annotation reference"/>
    <w:basedOn w:val="a0"/>
    <w:uiPriority w:val="99"/>
    <w:semiHidden/>
    <w:unhideWhenUsed/>
    <w:rsid w:val="00F43926"/>
    <w:rPr>
      <w:sz w:val="21"/>
      <w:szCs w:val="21"/>
    </w:rPr>
  </w:style>
  <w:style w:type="paragraph" w:styleId="a6">
    <w:name w:val="annotation text"/>
    <w:basedOn w:val="a"/>
    <w:link w:val="Char"/>
    <w:uiPriority w:val="99"/>
    <w:semiHidden/>
    <w:unhideWhenUsed/>
    <w:rsid w:val="00F43926"/>
  </w:style>
  <w:style w:type="character" w:customStyle="1" w:styleId="Char">
    <w:name w:val="批注文字 Char"/>
    <w:basedOn w:val="a0"/>
    <w:link w:val="a6"/>
    <w:uiPriority w:val="99"/>
    <w:semiHidden/>
    <w:rsid w:val="00F43926"/>
    <w:rPr>
      <w:rFonts w:eastAsia="Times New Roman"/>
      <w:sz w:val="24"/>
      <w:szCs w:val="24"/>
    </w:rPr>
  </w:style>
  <w:style w:type="paragraph" w:styleId="a7">
    <w:name w:val="annotation subject"/>
    <w:basedOn w:val="a6"/>
    <w:next w:val="a6"/>
    <w:link w:val="Char0"/>
    <w:uiPriority w:val="99"/>
    <w:semiHidden/>
    <w:unhideWhenUsed/>
    <w:rsid w:val="00F43926"/>
    <w:rPr>
      <w:b/>
      <w:bCs/>
    </w:rPr>
  </w:style>
  <w:style w:type="character" w:customStyle="1" w:styleId="Char0">
    <w:name w:val="批注主题 Char"/>
    <w:basedOn w:val="Char"/>
    <w:link w:val="a7"/>
    <w:uiPriority w:val="99"/>
    <w:semiHidden/>
    <w:rsid w:val="00F43926"/>
    <w:rPr>
      <w:rFonts w:eastAsia="Times New Roman"/>
      <w:b/>
      <w:bCs/>
      <w:sz w:val="24"/>
      <w:szCs w:val="24"/>
    </w:rPr>
  </w:style>
  <w:style w:type="paragraph" w:styleId="a8">
    <w:name w:val="Balloon Text"/>
    <w:basedOn w:val="a"/>
    <w:link w:val="Char1"/>
    <w:uiPriority w:val="99"/>
    <w:semiHidden/>
    <w:unhideWhenUsed/>
    <w:rsid w:val="00F43926"/>
    <w:rPr>
      <w:sz w:val="18"/>
      <w:szCs w:val="18"/>
    </w:rPr>
  </w:style>
  <w:style w:type="character" w:customStyle="1" w:styleId="Char1">
    <w:name w:val="批注框文本 Char"/>
    <w:basedOn w:val="a0"/>
    <w:link w:val="a8"/>
    <w:uiPriority w:val="99"/>
    <w:semiHidden/>
    <w:rsid w:val="00F43926"/>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4</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2024-04-17T16:02:00Z</dcterms:created>
  <dcterms:modified xsi:type="dcterms:W3CDTF">2024-04-17T16:02:00Z</dcterms:modified>
</cp:coreProperties>
</file>