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6C" w:rsidRDefault="0052336C" w:rsidP="00793C21">
      <w:pPr>
        <w:pStyle w:val="a4"/>
        <w:spacing w:before="0"/>
        <w:ind w:left="0"/>
        <w:jc w:val="center"/>
        <w:rPr>
          <w:rFonts w:ascii="黑体" w:eastAsia="黑体" w:hAnsi="黑体"/>
          <w:b w:val="0"/>
          <w:w w:val="95"/>
          <w:sz w:val="36"/>
          <w:lang w:eastAsia="zh-CN"/>
        </w:rPr>
      </w:pPr>
    </w:p>
    <w:p w:rsidR="00967840" w:rsidRPr="00793C21" w:rsidRDefault="00967840" w:rsidP="00793C21">
      <w:pPr>
        <w:pStyle w:val="a4"/>
        <w:spacing w:before="0"/>
        <w:ind w:left="0"/>
        <w:jc w:val="center"/>
        <w:rPr>
          <w:rFonts w:ascii="黑体" w:eastAsia="黑体" w:hAnsi="黑体"/>
          <w:b w:val="0"/>
          <w:w w:val="95"/>
          <w:sz w:val="36"/>
          <w:lang w:eastAsia="zh-CN"/>
        </w:rPr>
      </w:pPr>
      <w:r w:rsidRPr="00793C21">
        <w:rPr>
          <w:rFonts w:ascii="黑体" w:eastAsia="黑体" w:hAnsi="黑体" w:hint="eastAsia"/>
          <w:b w:val="0"/>
          <w:w w:val="95"/>
          <w:sz w:val="36"/>
          <w:lang w:eastAsia="zh-CN"/>
        </w:rPr>
        <w:t>新疆前海联合基金管理有限公司</w:t>
      </w:r>
    </w:p>
    <w:p w:rsidR="00427780" w:rsidRPr="00793C21" w:rsidRDefault="00967840" w:rsidP="00793C21">
      <w:pPr>
        <w:pStyle w:val="a4"/>
        <w:spacing w:before="0"/>
        <w:ind w:left="0"/>
        <w:jc w:val="center"/>
        <w:rPr>
          <w:rFonts w:ascii="黑体" w:eastAsia="黑体" w:hAnsi="黑体"/>
          <w:b w:val="0"/>
          <w:sz w:val="36"/>
          <w:lang w:eastAsia="zh-CN"/>
        </w:rPr>
      </w:pPr>
      <w:r w:rsidRPr="00E0160F">
        <w:rPr>
          <w:rFonts w:ascii="黑体" w:eastAsia="黑体" w:hAnsi="黑体" w:hint="eastAsia"/>
          <w:b w:val="0"/>
          <w:bCs w:val="0"/>
          <w:w w:val="95"/>
          <w:sz w:val="36"/>
          <w:lang w:eastAsia="zh-CN"/>
        </w:rPr>
        <w:t>关于</w:t>
      </w:r>
      <w:r w:rsidR="00BD7C31" w:rsidRPr="00E0160F">
        <w:rPr>
          <w:rFonts w:ascii="黑体" w:eastAsia="黑体" w:hAnsi="黑体" w:hint="eastAsia"/>
          <w:b w:val="0"/>
          <w:bCs w:val="0"/>
          <w:w w:val="95"/>
          <w:sz w:val="36"/>
          <w:lang w:eastAsia="zh-CN"/>
        </w:rPr>
        <w:t>新疆前海联合研究优选灵活配置混合型证券投资基金</w:t>
      </w:r>
      <w:r w:rsidR="005B1DF8" w:rsidRPr="00793C21">
        <w:rPr>
          <w:rFonts w:ascii="黑体" w:eastAsia="黑体" w:hAnsi="黑体" w:hint="eastAsia"/>
          <w:b w:val="0"/>
          <w:w w:val="95"/>
          <w:sz w:val="36"/>
          <w:lang w:eastAsia="zh-CN"/>
        </w:rPr>
        <w:t>可能触发基金合同终止情形</w:t>
      </w:r>
      <w:r w:rsidRPr="00793C21">
        <w:rPr>
          <w:rFonts w:ascii="黑体" w:eastAsia="黑体" w:hAnsi="黑体" w:hint="eastAsia"/>
          <w:b w:val="0"/>
          <w:w w:val="95"/>
          <w:sz w:val="36"/>
          <w:lang w:eastAsia="zh-CN"/>
        </w:rPr>
        <w:t>的</w:t>
      </w:r>
      <w:r w:rsidR="008A3DEB" w:rsidRPr="00793C21">
        <w:rPr>
          <w:rFonts w:ascii="黑体" w:eastAsia="黑体" w:hAnsi="黑体" w:hint="eastAsia"/>
          <w:b w:val="0"/>
          <w:w w:val="95"/>
          <w:sz w:val="36"/>
          <w:lang w:eastAsia="zh-CN"/>
        </w:rPr>
        <w:t>第</w:t>
      </w:r>
      <w:r w:rsidR="00122DDB">
        <w:rPr>
          <w:rFonts w:ascii="黑体" w:eastAsia="黑体" w:hAnsi="黑体" w:hint="eastAsia"/>
          <w:b w:val="0"/>
          <w:w w:val="95"/>
          <w:sz w:val="36"/>
          <w:lang w:eastAsia="zh-CN"/>
        </w:rPr>
        <w:t>二</w:t>
      </w:r>
      <w:r w:rsidR="008A3DEB" w:rsidRPr="00793C21">
        <w:rPr>
          <w:rFonts w:ascii="黑体" w:eastAsia="黑体" w:hAnsi="黑体" w:hint="eastAsia"/>
          <w:b w:val="0"/>
          <w:w w:val="95"/>
          <w:sz w:val="36"/>
          <w:lang w:eastAsia="zh-CN"/>
        </w:rPr>
        <w:t>次</w:t>
      </w:r>
      <w:r w:rsidRPr="00793C21">
        <w:rPr>
          <w:rFonts w:ascii="黑体" w:eastAsia="黑体" w:hAnsi="黑体" w:hint="eastAsia"/>
          <w:b w:val="0"/>
          <w:w w:val="95"/>
          <w:sz w:val="36"/>
          <w:lang w:eastAsia="zh-CN"/>
        </w:rPr>
        <w:t>提示性公告</w:t>
      </w:r>
    </w:p>
    <w:p w:rsidR="00427780" w:rsidRPr="008A3DEB" w:rsidRDefault="00427780" w:rsidP="00967840">
      <w:pPr>
        <w:pStyle w:val="a3"/>
        <w:spacing w:line="360" w:lineRule="auto"/>
        <w:rPr>
          <w:b/>
          <w:lang w:eastAsia="zh-CN"/>
        </w:rPr>
      </w:pPr>
    </w:p>
    <w:p w:rsidR="006D60E5" w:rsidRPr="00BD7C31" w:rsidRDefault="00967840" w:rsidP="00793C2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根据《中华人民共和国证券投资基金法》、《公开募集证券投资基金运作管理办法》和《</w:t>
      </w:r>
      <w:r w:rsidR="00BD7C31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新疆前海联合研究优选灵活配置混合型证券投资基金基金合同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》（以下简称“基金合同”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或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“《基金合同》”）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的有关规定，</w:t>
      </w:r>
      <w:r w:rsidR="00BD7C31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新疆前海联合研究优选灵活配置混合型证券投资基金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（以下简称“本基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金”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）</w:t>
      </w:r>
      <w:r w:rsidR="0074480A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可能触发基金合同终止情形，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现将有关事项提示公告如下：</w:t>
      </w:r>
    </w:p>
    <w:p w:rsidR="00967840" w:rsidRPr="00BD7C31" w:rsidRDefault="00967840" w:rsidP="00967840">
      <w:pPr>
        <w:pStyle w:val="a3"/>
        <w:spacing w:before="19" w:line="360" w:lineRule="auto"/>
        <w:jc w:val="both"/>
        <w:rPr>
          <w:rFonts w:ascii="仿宋" w:eastAsia="仿宋" w:hAnsi="仿宋"/>
          <w:b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一、本基金基本信息</w:t>
      </w:r>
    </w:p>
    <w:tbl>
      <w:tblPr>
        <w:tblStyle w:val="a9"/>
        <w:tblW w:w="0" w:type="auto"/>
        <w:tblInd w:w="-176" w:type="dxa"/>
        <w:tblLook w:val="04A0"/>
      </w:tblPr>
      <w:tblGrid>
        <w:gridCol w:w="2552"/>
        <w:gridCol w:w="6390"/>
      </w:tblGrid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基金名称</w:t>
            </w:r>
          </w:p>
        </w:tc>
        <w:tc>
          <w:tcPr>
            <w:tcW w:w="6390" w:type="dxa"/>
            <w:vAlign w:val="center"/>
          </w:tcPr>
          <w:p w:rsidR="00967840" w:rsidRPr="00BD7C31" w:rsidRDefault="00BD7C31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新疆前海联合研究优选灵活配置混合型证券投资基金</w:t>
            </w:r>
          </w:p>
        </w:tc>
      </w:tr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基金简称</w:t>
            </w:r>
          </w:p>
        </w:tc>
        <w:tc>
          <w:tcPr>
            <w:tcW w:w="6390" w:type="dxa"/>
            <w:vAlign w:val="center"/>
          </w:tcPr>
          <w:p w:rsidR="00967840" w:rsidRPr="00BD7C31" w:rsidRDefault="00BD7C31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前海联合研究优选混合</w:t>
            </w:r>
          </w:p>
        </w:tc>
      </w:tr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基金代码</w:t>
            </w:r>
          </w:p>
        </w:tc>
        <w:tc>
          <w:tcPr>
            <w:tcW w:w="6390" w:type="dxa"/>
            <w:vAlign w:val="center"/>
          </w:tcPr>
          <w:p w:rsidR="00BD7C31" w:rsidRDefault="00BD7C31" w:rsidP="00BB1DB1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前海联合研究优选混合</w:t>
            </w:r>
            <w:r w:rsidRPr="00BD7C31"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  <w:t>A：005671</w:t>
            </w:r>
          </w:p>
          <w:p w:rsidR="00967840" w:rsidRPr="00BD7C31" w:rsidRDefault="00BD7C31" w:rsidP="00BB1DB1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前海联合研究优选混合</w:t>
            </w:r>
            <w:r w:rsidRPr="00BD7C31"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  <w:t>C：005672</w:t>
            </w:r>
          </w:p>
        </w:tc>
      </w:tr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基金运作方式</w:t>
            </w:r>
          </w:p>
        </w:tc>
        <w:tc>
          <w:tcPr>
            <w:tcW w:w="6390" w:type="dxa"/>
            <w:vAlign w:val="center"/>
          </w:tcPr>
          <w:p w:rsidR="00967840" w:rsidRPr="00BD7C31" w:rsidRDefault="0054784F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契约型开放式</w:t>
            </w:r>
          </w:p>
        </w:tc>
      </w:tr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基金合同生效日</w:t>
            </w:r>
          </w:p>
        </w:tc>
        <w:tc>
          <w:tcPr>
            <w:tcW w:w="6390" w:type="dxa"/>
            <w:vAlign w:val="center"/>
          </w:tcPr>
          <w:p w:rsidR="00967840" w:rsidRPr="00BD7C31" w:rsidRDefault="0095394E" w:rsidP="0052336C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  <w:t>201</w:t>
            </w: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8</w:t>
            </w:r>
            <w:r w:rsidR="0052336C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年</w:t>
            </w:r>
            <w:r w:rsid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07</w:t>
            </w:r>
            <w:r w:rsidR="0052336C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月</w:t>
            </w:r>
            <w:r w:rsid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25</w:t>
            </w:r>
            <w:r w:rsidR="0052336C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日</w:t>
            </w:r>
          </w:p>
        </w:tc>
      </w:tr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lastRenderedPageBreak/>
              <w:t>基金管理人名称</w:t>
            </w:r>
          </w:p>
        </w:tc>
        <w:tc>
          <w:tcPr>
            <w:tcW w:w="6390" w:type="dxa"/>
            <w:vAlign w:val="center"/>
          </w:tcPr>
          <w:p w:rsidR="00967840" w:rsidRPr="00BD7C31" w:rsidRDefault="0054784F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新疆前海联合基金管理有限公司</w:t>
            </w:r>
          </w:p>
        </w:tc>
      </w:tr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基金托管人名称</w:t>
            </w:r>
          </w:p>
        </w:tc>
        <w:tc>
          <w:tcPr>
            <w:tcW w:w="6390" w:type="dxa"/>
            <w:vAlign w:val="center"/>
          </w:tcPr>
          <w:p w:rsidR="00967840" w:rsidRPr="00BD7C31" w:rsidRDefault="00BD7C31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中国工商银行股份有限公司</w:t>
            </w:r>
          </w:p>
        </w:tc>
      </w:tr>
    </w:tbl>
    <w:p w:rsidR="00967840" w:rsidRPr="00BD7C31" w:rsidRDefault="00967840" w:rsidP="00BD7C3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</w:p>
    <w:p w:rsidR="00967840" w:rsidRPr="00BD7C31" w:rsidRDefault="00967840" w:rsidP="00967840">
      <w:pPr>
        <w:pStyle w:val="a3"/>
        <w:spacing w:before="19" w:line="360" w:lineRule="auto"/>
        <w:jc w:val="both"/>
        <w:rPr>
          <w:rFonts w:ascii="仿宋" w:eastAsia="仿宋" w:hAnsi="仿宋"/>
          <w:b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/>
          <w:b/>
          <w:spacing w:val="13"/>
          <w:sz w:val="30"/>
          <w:szCs w:val="30"/>
          <w:lang w:eastAsia="zh-CN"/>
        </w:rPr>
        <w:t>二</w:t>
      </w:r>
      <w:r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、</w:t>
      </w:r>
      <w:r w:rsidR="00926E6C"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可能</w:t>
      </w:r>
      <w:r w:rsidR="00507A12"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触发</w:t>
      </w:r>
      <w:r w:rsidR="00926E6C"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基金合同终止</w:t>
      </w:r>
      <w:r w:rsidR="00507A12"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的</w:t>
      </w:r>
      <w:r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情形说明</w:t>
      </w:r>
    </w:p>
    <w:p w:rsidR="006D60E5" w:rsidRPr="00BD7C31" w:rsidRDefault="006D60E5" w:rsidP="001908C7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根据基金合同“第五部分</w:t>
      </w:r>
      <w:r w:rsidR="001C0BE9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 xml:space="preserve"> 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基金备案”之“三、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基金存续期内的基金份额持有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人数量和资产规模”的约定：</w:t>
      </w:r>
    </w:p>
    <w:p w:rsidR="00967840" w:rsidRPr="00BD7C31" w:rsidRDefault="006D60E5" w:rsidP="00EE75C5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“</w:t>
      </w:r>
      <w:r w:rsidR="00BD7C31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《基金合同》生效后，连续</w:t>
      </w:r>
      <w:r w:rsidR="00BD7C31" w:rsidRPr="00BD7C31">
        <w:rPr>
          <w:rFonts w:ascii="仿宋" w:eastAsia="仿宋" w:hAnsi="仿宋"/>
          <w:spacing w:val="13"/>
          <w:sz w:val="30"/>
          <w:szCs w:val="30"/>
          <w:lang w:eastAsia="zh-CN"/>
        </w:rPr>
        <w:t>20个工作日出现基金份额持有人数量不满200人或者基金资产净值低于</w:t>
      </w:r>
      <w:r w:rsidR="0052336C">
        <w:rPr>
          <w:rFonts w:ascii="仿宋" w:eastAsia="仿宋" w:hAnsi="仿宋"/>
          <w:spacing w:val="13"/>
          <w:sz w:val="30"/>
          <w:szCs w:val="30"/>
          <w:lang w:eastAsia="zh-CN"/>
        </w:rPr>
        <w:t>5000</w:t>
      </w:r>
      <w:r w:rsidR="00BD7C31" w:rsidRPr="00BD7C31">
        <w:rPr>
          <w:rFonts w:ascii="仿宋" w:eastAsia="仿宋" w:hAnsi="仿宋"/>
          <w:spacing w:val="13"/>
          <w:sz w:val="30"/>
          <w:szCs w:val="30"/>
          <w:lang w:eastAsia="zh-CN"/>
        </w:rPr>
        <w:t>万元情形的，基金管理人应当在定期报告中予以披露；连续</w:t>
      </w:r>
      <w:r w:rsidR="0052336C">
        <w:rPr>
          <w:rFonts w:ascii="仿宋" w:eastAsia="仿宋" w:hAnsi="仿宋"/>
          <w:spacing w:val="13"/>
          <w:sz w:val="30"/>
          <w:szCs w:val="30"/>
          <w:lang w:eastAsia="zh-CN"/>
        </w:rPr>
        <w:t>60</w:t>
      </w:r>
      <w:r w:rsidR="00BD7C31" w:rsidRPr="00BD7C31">
        <w:rPr>
          <w:rFonts w:ascii="仿宋" w:eastAsia="仿宋" w:hAnsi="仿宋"/>
          <w:spacing w:val="13"/>
          <w:sz w:val="30"/>
          <w:szCs w:val="30"/>
          <w:lang w:eastAsia="zh-CN"/>
        </w:rPr>
        <w:t>个工作日出现前述情形的，基金管理人应当终止基金合同，无需召开基金份额持有人大会进行表决。法律法规或监管规则另有规定时，从其规定</w:t>
      </w:r>
      <w:r w:rsidR="00BB1DB1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。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”</w:t>
      </w:r>
    </w:p>
    <w:p w:rsidR="006D60E5" w:rsidRPr="00BD7C31" w:rsidRDefault="00BD7C31" w:rsidP="00EE75C5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截至</w:t>
      </w:r>
      <w:r w:rsidR="00280A35" w:rsidRPr="00BD7C31">
        <w:rPr>
          <w:rFonts w:ascii="仿宋" w:eastAsia="仿宋" w:hAnsi="仿宋"/>
          <w:spacing w:val="13"/>
          <w:sz w:val="30"/>
          <w:szCs w:val="30"/>
          <w:lang w:eastAsia="zh-CN"/>
        </w:rPr>
        <w:t>2024年</w:t>
      </w:r>
      <w:r w:rsidR="00280A35">
        <w:rPr>
          <w:rFonts w:ascii="仿宋" w:eastAsia="仿宋" w:hAnsi="仿宋" w:hint="eastAsia"/>
          <w:spacing w:val="13"/>
          <w:sz w:val="30"/>
          <w:szCs w:val="30"/>
          <w:lang w:eastAsia="zh-CN"/>
        </w:rPr>
        <w:t>0</w:t>
      </w:r>
      <w:r w:rsidR="00280A35" w:rsidRPr="00BD7C31">
        <w:rPr>
          <w:rFonts w:ascii="仿宋" w:eastAsia="仿宋" w:hAnsi="仿宋"/>
          <w:spacing w:val="13"/>
          <w:sz w:val="30"/>
          <w:szCs w:val="30"/>
          <w:lang w:eastAsia="zh-CN"/>
        </w:rPr>
        <w:t>4月</w:t>
      </w:r>
      <w:r w:rsidR="00280A35">
        <w:rPr>
          <w:rFonts w:ascii="仿宋" w:eastAsia="仿宋" w:hAnsi="仿宋" w:hint="eastAsia"/>
          <w:spacing w:val="13"/>
          <w:sz w:val="30"/>
          <w:szCs w:val="30"/>
          <w:lang w:eastAsia="zh-CN"/>
        </w:rPr>
        <w:t>16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日日终，本基金已连续</w:t>
      </w:r>
      <w:r w:rsidR="00280A35">
        <w:rPr>
          <w:rFonts w:ascii="仿宋" w:eastAsia="仿宋" w:hAnsi="仿宋" w:hint="eastAsia"/>
          <w:spacing w:val="13"/>
          <w:sz w:val="30"/>
          <w:szCs w:val="30"/>
          <w:lang w:eastAsia="zh-CN"/>
        </w:rPr>
        <w:t>50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个工作日基金资产净值低于5000万元。若截至2024年</w:t>
      </w:r>
      <w:r w:rsidR="0052336C">
        <w:rPr>
          <w:rFonts w:ascii="仿宋" w:eastAsia="仿宋" w:hAnsi="仿宋" w:hint="eastAsia"/>
          <w:spacing w:val="13"/>
          <w:sz w:val="30"/>
          <w:szCs w:val="30"/>
          <w:lang w:eastAsia="zh-CN"/>
        </w:rPr>
        <w:t>0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4月30日日终，本基金出现连续60个工作日基金资产净值低于5000万元的情形，本基金将触发《基金合同》约定的基金合同终止条款，届时本基金将按照基金合同的约定</w:t>
      </w:r>
      <w:r w:rsidR="003F2507">
        <w:rPr>
          <w:rFonts w:ascii="仿宋" w:eastAsia="仿宋" w:hAnsi="仿宋"/>
          <w:spacing w:val="13"/>
          <w:sz w:val="30"/>
          <w:szCs w:val="30"/>
          <w:lang w:eastAsia="zh-CN"/>
        </w:rPr>
        <w:t>终止基金合同，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无需召开基金份额持有人大会进行表决。特此提示</w:t>
      </w:r>
      <w:r w:rsidR="006D60E5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。</w:t>
      </w:r>
    </w:p>
    <w:p w:rsidR="006D60E5" w:rsidRPr="00BD7C31" w:rsidRDefault="006D60E5" w:rsidP="00EE75C5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</w:p>
    <w:p w:rsidR="00967840" w:rsidRPr="00BD7C31" w:rsidRDefault="00967840" w:rsidP="00967840">
      <w:pPr>
        <w:pStyle w:val="a3"/>
        <w:spacing w:before="19" w:line="360" w:lineRule="auto"/>
        <w:jc w:val="both"/>
        <w:rPr>
          <w:rFonts w:ascii="仿宋" w:eastAsia="仿宋" w:hAnsi="仿宋"/>
          <w:b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三、其他需要提示的事项</w:t>
      </w:r>
    </w:p>
    <w:p w:rsidR="006D60E5" w:rsidRPr="00BD7C31" w:rsidRDefault="006D60E5" w:rsidP="00BD7C3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1、若出现触发《基金合同》终止的情形，基金管理人将根据相关法律法规、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《基金合同》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等规定成立基金财产清算小组，履行基金财产清算程序。本基金进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入清算程序后将不再开放办理申购、赎回、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转换</w:t>
      </w:r>
      <w:r w:rsidR="0052133B">
        <w:rPr>
          <w:rFonts w:ascii="仿宋" w:eastAsia="仿宋" w:hAnsi="仿宋"/>
          <w:spacing w:val="13"/>
          <w:sz w:val="30"/>
          <w:szCs w:val="30"/>
          <w:lang w:eastAsia="zh-CN"/>
        </w:rPr>
        <w:t>及定投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等业务。敬请投资者予以关注。</w:t>
      </w:r>
    </w:p>
    <w:p w:rsidR="006D60E5" w:rsidRPr="00BD7C31" w:rsidRDefault="006D60E5" w:rsidP="00BD7C3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2、投资者欲了解本基金的详细情况，请认真阅读本基金《基金合同》、《招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募说明书》</w:t>
      </w:r>
      <w:r w:rsidR="00A86F20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、</w:t>
      </w:r>
      <w:r w:rsidR="00E23F42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基金</w:t>
      </w:r>
      <w:r w:rsidR="00A86F20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产品资料概要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等基金法律文件</w:t>
      </w:r>
      <w:r w:rsidR="00856DC0">
        <w:rPr>
          <w:rFonts w:ascii="仿宋" w:eastAsia="仿宋" w:hAnsi="仿宋" w:hint="eastAsia"/>
          <w:spacing w:val="13"/>
          <w:sz w:val="30"/>
          <w:szCs w:val="30"/>
          <w:lang w:eastAsia="zh-CN"/>
        </w:rPr>
        <w:t>及相关公告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。</w:t>
      </w:r>
    </w:p>
    <w:p w:rsidR="006D60E5" w:rsidRDefault="006D60E5" w:rsidP="00793C2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3、本公告的解释权归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新疆前海联合基金管理有限公司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所有。投资者可以登录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新疆前海联合基金管理有限公司</w:t>
      </w:r>
      <w:r w:rsidR="001C0BE9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网站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（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www.qhlhfund.com）</w:t>
      </w:r>
      <w:r w:rsidR="00894C91" w:rsidRPr="00BD7C31">
        <w:rPr>
          <w:rFonts w:ascii="仿宋" w:eastAsia="仿宋" w:hAnsi="仿宋"/>
          <w:spacing w:val="13"/>
          <w:sz w:val="30"/>
          <w:szCs w:val="30"/>
          <w:lang w:eastAsia="zh-CN"/>
        </w:rPr>
        <w:t>查询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或拨打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新疆前海联合基金管理有限公司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客服热线400-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640</w:t>
      </w:r>
      <w:r w:rsidR="00F84A8F" w:rsidRPr="00BD7C31">
        <w:rPr>
          <w:rFonts w:ascii="仿宋" w:eastAsia="仿宋" w:hAnsi="仿宋"/>
          <w:spacing w:val="13"/>
          <w:sz w:val="30"/>
          <w:szCs w:val="30"/>
          <w:lang w:eastAsia="zh-CN"/>
        </w:rPr>
        <w:t>-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0099</w:t>
      </w:r>
      <w:r w:rsidR="00894C91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咨询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相关</w:t>
      </w:r>
      <w:r w:rsidR="00894C91" w:rsidRPr="00BD7C31">
        <w:rPr>
          <w:rFonts w:ascii="仿宋" w:eastAsia="仿宋" w:hAnsi="仿宋"/>
          <w:spacing w:val="13"/>
          <w:sz w:val="30"/>
          <w:szCs w:val="30"/>
          <w:lang w:eastAsia="zh-CN"/>
        </w:rPr>
        <w:t>情况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。</w:t>
      </w:r>
    </w:p>
    <w:p w:rsidR="00D46647" w:rsidRPr="00BD7C31" w:rsidRDefault="00D46647" w:rsidP="00793C2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</w:p>
    <w:p w:rsidR="006D60E5" w:rsidRPr="00BD7C31" w:rsidRDefault="006D60E5" w:rsidP="00793C2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风险提示</w:t>
      </w:r>
      <w:r w:rsidR="0052336C">
        <w:rPr>
          <w:rFonts w:ascii="仿宋" w:eastAsia="仿宋" w:hAnsi="仿宋" w:hint="eastAsia"/>
          <w:spacing w:val="13"/>
          <w:sz w:val="30"/>
          <w:szCs w:val="30"/>
          <w:lang w:eastAsia="zh-CN"/>
        </w:rPr>
        <w:t>：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本基金管理人承诺以诚实信用、勤勉尽责的原则管理和运用基金资产，但不保证基金一定盈利，也不保证最低收益。基金的过往业绩及其净值高低并不预示其未来业绩表现。投资有风险，敬请投资者在投资基金前认真阅读《基金合同》、《招募说明书》</w:t>
      </w:r>
      <w:r w:rsidR="00013998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、基金产品资料概要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等基金法律文件，了解基金的风险收益特征，并根据自身的风险承受能力选择适合自己的基金产品。</w:t>
      </w:r>
    </w:p>
    <w:p w:rsidR="008317EA" w:rsidRPr="00BD7C31" w:rsidRDefault="006D60E5" w:rsidP="00793C2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特此公告。</w:t>
      </w:r>
    </w:p>
    <w:p w:rsidR="00967840" w:rsidRPr="00BD7C31" w:rsidRDefault="00967840" w:rsidP="00BD7C3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</w:p>
    <w:p w:rsidR="00427780" w:rsidRPr="00BD7C31" w:rsidRDefault="008317EA" w:rsidP="008317EA">
      <w:pPr>
        <w:pStyle w:val="a3"/>
        <w:spacing w:before="55"/>
        <w:ind w:left="3141" w:right="186"/>
        <w:jc w:val="right"/>
        <w:rPr>
          <w:rFonts w:ascii="仿宋" w:eastAsia="仿宋" w:hAnsi="仿宋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z w:val="30"/>
          <w:szCs w:val="30"/>
          <w:lang w:eastAsia="zh-CN"/>
        </w:rPr>
        <w:t>新疆前海联合</w:t>
      </w:r>
      <w:r w:rsidRPr="00BD7C31">
        <w:rPr>
          <w:rFonts w:ascii="仿宋" w:eastAsia="仿宋" w:hAnsi="仿宋"/>
          <w:sz w:val="30"/>
          <w:szCs w:val="30"/>
          <w:lang w:eastAsia="zh-CN"/>
        </w:rPr>
        <w:t>基金管理有限公司</w:t>
      </w:r>
    </w:p>
    <w:p w:rsidR="00427780" w:rsidRPr="00BD7C31" w:rsidRDefault="00BD7C31" w:rsidP="00793C21">
      <w:pPr>
        <w:pStyle w:val="a3"/>
        <w:spacing w:before="200"/>
        <w:ind w:left="3141" w:right="812"/>
        <w:jc w:val="right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二〇二四年四月</w:t>
      </w:r>
      <w:r w:rsidR="003E3DAF">
        <w:rPr>
          <w:rFonts w:ascii="仿宋" w:eastAsia="仿宋" w:hAnsi="仿宋" w:hint="eastAsia"/>
          <w:spacing w:val="13"/>
          <w:sz w:val="30"/>
          <w:szCs w:val="30"/>
          <w:lang w:eastAsia="zh-CN"/>
        </w:rPr>
        <w:t>十</w:t>
      </w:r>
      <w:bookmarkStart w:id="0" w:name="_GoBack"/>
      <w:r w:rsidR="00280A35">
        <w:rPr>
          <w:rFonts w:ascii="仿宋" w:eastAsia="仿宋" w:hAnsi="仿宋" w:hint="eastAsia"/>
          <w:spacing w:val="13"/>
          <w:sz w:val="30"/>
          <w:szCs w:val="30"/>
          <w:lang w:eastAsia="zh-CN"/>
        </w:rPr>
        <w:t>七</w:t>
      </w:r>
      <w:bookmarkEnd w:id="0"/>
      <w:r w:rsidR="003E3DAF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日</w:t>
      </w:r>
    </w:p>
    <w:sectPr w:rsidR="00427780" w:rsidRPr="00BD7C31" w:rsidSect="00BC249D">
      <w:footerReference w:type="default" r:id="rId8"/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42" w:rsidRDefault="00846042" w:rsidP="006B4E26">
      <w:r>
        <w:separator/>
      </w:r>
    </w:p>
  </w:endnote>
  <w:endnote w:type="continuationSeparator" w:id="0">
    <w:p w:rsidR="00846042" w:rsidRDefault="00846042" w:rsidP="006B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821159"/>
      <w:docPartObj>
        <w:docPartGallery w:val="Page Numbers (Bottom of Page)"/>
        <w:docPartUnique/>
      </w:docPartObj>
    </w:sdtPr>
    <w:sdtContent>
      <w:p w:rsidR="003E3DAF" w:rsidRDefault="00BC249D">
        <w:pPr>
          <w:pStyle w:val="a8"/>
          <w:jc w:val="center"/>
        </w:pPr>
        <w:r>
          <w:fldChar w:fldCharType="begin"/>
        </w:r>
        <w:r w:rsidR="003E3DAF">
          <w:instrText>PAGE   \* MERGEFORMAT</w:instrText>
        </w:r>
        <w:r>
          <w:fldChar w:fldCharType="separate"/>
        </w:r>
        <w:r w:rsidR="006B73AD" w:rsidRPr="006B73AD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3E3DAF" w:rsidRDefault="003E3D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42" w:rsidRDefault="00846042" w:rsidP="006B4E26">
      <w:r>
        <w:separator/>
      </w:r>
    </w:p>
  </w:footnote>
  <w:footnote w:type="continuationSeparator" w:id="0">
    <w:p w:rsidR="00846042" w:rsidRDefault="00846042" w:rsidP="006B4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7241"/>
    <w:multiLevelType w:val="hybridMultilevel"/>
    <w:tmpl w:val="02700320"/>
    <w:lvl w:ilvl="0" w:tplc="5F92F678">
      <w:start w:val="1"/>
      <w:numFmt w:val="japaneseCounting"/>
      <w:lvlText w:val="%1、"/>
      <w:lvlJc w:val="left"/>
      <w:pPr>
        <w:ind w:left="114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>
    <w:nsid w:val="7C297325"/>
    <w:multiLevelType w:val="hybridMultilevel"/>
    <w:tmpl w:val="85F81ADA"/>
    <w:lvl w:ilvl="0" w:tplc="BBA8D0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27780"/>
    <w:rsid w:val="0000605D"/>
    <w:rsid w:val="00013998"/>
    <w:rsid w:val="00044C89"/>
    <w:rsid w:val="0004606F"/>
    <w:rsid w:val="00104D06"/>
    <w:rsid w:val="00117A0C"/>
    <w:rsid w:val="00122DDB"/>
    <w:rsid w:val="00145BEC"/>
    <w:rsid w:val="00177A67"/>
    <w:rsid w:val="001908C7"/>
    <w:rsid w:val="001B6705"/>
    <w:rsid w:val="001C0BE9"/>
    <w:rsid w:val="002100F7"/>
    <w:rsid w:val="00240B80"/>
    <w:rsid w:val="00280A35"/>
    <w:rsid w:val="00282439"/>
    <w:rsid w:val="002A7BF3"/>
    <w:rsid w:val="002E00ED"/>
    <w:rsid w:val="00335591"/>
    <w:rsid w:val="003818AF"/>
    <w:rsid w:val="003B7F9C"/>
    <w:rsid w:val="003E3DAF"/>
    <w:rsid w:val="003F2507"/>
    <w:rsid w:val="00427780"/>
    <w:rsid w:val="0046377F"/>
    <w:rsid w:val="0048519A"/>
    <w:rsid w:val="00507A12"/>
    <w:rsid w:val="0052133B"/>
    <w:rsid w:val="0052336C"/>
    <w:rsid w:val="0054784F"/>
    <w:rsid w:val="00557B5C"/>
    <w:rsid w:val="005B1DF8"/>
    <w:rsid w:val="00643888"/>
    <w:rsid w:val="00663F6D"/>
    <w:rsid w:val="00685089"/>
    <w:rsid w:val="006A461A"/>
    <w:rsid w:val="006B4E26"/>
    <w:rsid w:val="006B73AD"/>
    <w:rsid w:val="006D60E5"/>
    <w:rsid w:val="007012D5"/>
    <w:rsid w:val="0074480A"/>
    <w:rsid w:val="0075799A"/>
    <w:rsid w:val="007609FC"/>
    <w:rsid w:val="00761D09"/>
    <w:rsid w:val="00793C21"/>
    <w:rsid w:val="007E4901"/>
    <w:rsid w:val="008317EA"/>
    <w:rsid w:val="00846042"/>
    <w:rsid w:val="00856DC0"/>
    <w:rsid w:val="00894C91"/>
    <w:rsid w:val="008A338B"/>
    <w:rsid w:val="008A3DEB"/>
    <w:rsid w:val="00926E6C"/>
    <w:rsid w:val="009317F7"/>
    <w:rsid w:val="00947E57"/>
    <w:rsid w:val="0095394E"/>
    <w:rsid w:val="00962ABF"/>
    <w:rsid w:val="00967840"/>
    <w:rsid w:val="00A31084"/>
    <w:rsid w:val="00A32A7A"/>
    <w:rsid w:val="00A446D1"/>
    <w:rsid w:val="00A46C31"/>
    <w:rsid w:val="00A86F20"/>
    <w:rsid w:val="00B13574"/>
    <w:rsid w:val="00B6251B"/>
    <w:rsid w:val="00B9154D"/>
    <w:rsid w:val="00B943BA"/>
    <w:rsid w:val="00BA1F54"/>
    <w:rsid w:val="00BB1DB1"/>
    <w:rsid w:val="00BC249D"/>
    <w:rsid w:val="00BD7C31"/>
    <w:rsid w:val="00C37AD3"/>
    <w:rsid w:val="00C530D8"/>
    <w:rsid w:val="00C748FD"/>
    <w:rsid w:val="00C907C6"/>
    <w:rsid w:val="00CE7C12"/>
    <w:rsid w:val="00CF082D"/>
    <w:rsid w:val="00CF76FA"/>
    <w:rsid w:val="00D1440D"/>
    <w:rsid w:val="00D46647"/>
    <w:rsid w:val="00DD2D7C"/>
    <w:rsid w:val="00DF5A53"/>
    <w:rsid w:val="00E0160F"/>
    <w:rsid w:val="00E23F42"/>
    <w:rsid w:val="00E556F5"/>
    <w:rsid w:val="00EE49A4"/>
    <w:rsid w:val="00EE5406"/>
    <w:rsid w:val="00EE75C5"/>
    <w:rsid w:val="00EF6770"/>
    <w:rsid w:val="00F507D9"/>
    <w:rsid w:val="00F73763"/>
    <w:rsid w:val="00F84A8F"/>
    <w:rsid w:val="00FB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49D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4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249D"/>
    <w:rPr>
      <w:sz w:val="32"/>
      <w:szCs w:val="32"/>
    </w:rPr>
  </w:style>
  <w:style w:type="paragraph" w:styleId="a4">
    <w:name w:val="Title"/>
    <w:basedOn w:val="a"/>
    <w:uiPriority w:val="1"/>
    <w:qFormat/>
    <w:rsid w:val="00BC249D"/>
    <w:pPr>
      <w:spacing w:before="86"/>
      <w:ind w:left="35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C249D"/>
  </w:style>
  <w:style w:type="paragraph" w:customStyle="1" w:styleId="TableParagraph">
    <w:name w:val="Table Paragraph"/>
    <w:basedOn w:val="a"/>
    <w:uiPriority w:val="1"/>
    <w:qFormat/>
    <w:rsid w:val="00BC249D"/>
  </w:style>
  <w:style w:type="character" w:styleId="a6">
    <w:name w:val="Hyperlink"/>
    <w:basedOn w:val="a0"/>
    <w:uiPriority w:val="99"/>
    <w:unhideWhenUsed/>
    <w:rsid w:val="008317EA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6B4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B4E26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B4E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B4E26"/>
    <w:rPr>
      <w:rFonts w:ascii="宋体" w:eastAsia="宋体" w:hAnsi="宋体" w:cs="宋体"/>
      <w:sz w:val="18"/>
      <w:szCs w:val="18"/>
    </w:rPr>
  </w:style>
  <w:style w:type="table" w:styleId="a9">
    <w:name w:val="Table Grid"/>
    <w:basedOn w:val="a1"/>
    <w:uiPriority w:val="59"/>
    <w:rsid w:val="00967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D60E5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6D60E5"/>
  </w:style>
  <w:style w:type="character" w:customStyle="1" w:styleId="Char1">
    <w:name w:val="批注文字 Char"/>
    <w:basedOn w:val="a0"/>
    <w:link w:val="ab"/>
    <w:uiPriority w:val="99"/>
    <w:semiHidden/>
    <w:rsid w:val="006D60E5"/>
    <w:rPr>
      <w:rFonts w:ascii="宋体" w:eastAsia="宋体" w:hAnsi="宋体" w:cs="宋体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6D60E5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6D60E5"/>
    <w:rPr>
      <w:rFonts w:ascii="宋体" w:eastAsia="宋体" w:hAnsi="宋体" w:cs="宋体"/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6D60E5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6D60E5"/>
    <w:rPr>
      <w:rFonts w:ascii="宋体" w:eastAsia="宋体" w:hAnsi="宋体" w:cs="宋体"/>
      <w:sz w:val="18"/>
      <w:szCs w:val="18"/>
    </w:rPr>
  </w:style>
  <w:style w:type="paragraph" w:styleId="ae">
    <w:name w:val="Revision"/>
    <w:hidden/>
    <w:uiPriority w:val="99"/>
    <w:semiHidden/>
    <w:rsid w:val="00DD2D7C"/>
    <w:pPr>
      <w:widowControl/>
      <w:autoSpaceDE/>
      <w:autoSpaceDN/>
    </w:pPr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86"/>
      <w:ind w:left="35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317EA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6B4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B4E26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B4E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B4E26"/>
    <w:rPr>
      <w:rFonts w:ascii="宋体" w:eastAsia="宋体" w:hAnsi="宋体" w:cs="宋体"/>
      <w:sz w:val="18"/>
      <w:szCs w:val="18"/>
    </w:rPr>
  </w:style>
  <w:style w:type="table" w:styleId="a9">
    <w:name w:val="Table Grid"/>
    <w:basedOn w:val="a1"/>
    <w:uiPriority w:val="59"/>
    <w:rsid w:val="009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D60E5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6D60E5"/>
  </w:style>
  <w:style w:type="character" w:customStyle="1" w:styleId="Char1">
    <w:name w:val="批注文字 Char"/>
    <w:basedOn w:val="a0"/>
    <w:link w:val="ab"/>
    <w:uiPriority w:val="99"/>
    <w:semiHidden/>
    <w:rsid w:val="006D60E5"/>
    <w:rPr>
      <w:rFonts w:ascii="宋体" w:eastAsia="宋体" w:hAnsi="宋体" w:cs="宋体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6D60E5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6D60E5"/>
    <w:rPr>
      <w:rFonts w:ascii="宋体" w:eastAsia="宋体" w:hAnsi="宋体" w:cs="宋体"/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6D60E5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6D60E5"/>
    <w:rPr>
      <w:rFonts w:ascii="宋体" w:eastAsia="宋体" w:hAnsi="宋体" w:cs="宋体"/>
      <w:sz w:val="18"/>
      <w:szCs w:val="18"/>
    </w:rPr>
  </w:style>
  <w:style w:type="paragraph" w:styleId="ae">
    <w:name w:val="Revision"/>
    <w:hidden/>
    <w:uiPriority w:val="99"/>
    <w:semiHidden/>
    <w:rsid w:val="00DD2D7C"/>
    <w:pPr>
      <w:widowControl/>
      <w:autoSpaceDE/>
      <w:autoSpaceDN/>
    </w:pPr>
    <w:rPr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678E-7346-4EED-BC48-5226A7F7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1083</Characters>
  <Application>Microsoft Office Word</Application>
  <DocSecurity>4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郑樱</dc:creator>
  <cp:lastModifiedBy>ZHONGM</cp:lastModifiedBy>
  <cp:revision>2</cp:revision>
  <cp:lastPrinted>2021-11-18T05:04:00Z</cp:lastPrinted>
  <dcterms:created xsi:type="dcterms:W3CDTF">2024-04-16T16:02:00Z</dcterms:created>
  <dcterms:modified xsi:type="dcterms:W3CDTF">2024-04-16T16:02:00Z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2021-05-18T00:00:00Z</vt:filetime>
  </property>
</Properties>
</file>