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D377D8">
        <w:rPr>
          <w:rFonts w:ascii="Times New Roman" w:eastAsia="宋体" w:hAnsi="Times New Roman" w:cs="Times New Roman" w:hint="eastAsia"/>
          <w:b/>
          <w:bCs/>
          <w:color w:val="000000"/>
          <w:sz w:val="28"/>
          <w:szCs w:val="28"/>
        </w:rPr>
        <w:t>中信建投证券</w:t>
      </w:r>
      <w:r w:rsidRPr="00B679B0">
        <w:rPr>
          <w:rFonts w:ascii="Times New Roman" w:eastAsia="宋体" w:hAnsi="Times New Roman" w:cs="Times New Roman" w:hint="eastAsia"/>
          <w:b/>
          <w:bCs/>
          <w:color w:val="000000"/>
          <w:sz w:val="28"/>
          <w:szCs w:val="28"/>
        </w:rPr>
        <w:t>为销售机构</w:t>
      </w:r>
      <w:bookmarkStart w:id="0" w:name="_GoBack"/>
      <w:bookmarkEnd w:id="0"/>
      <w:r w:rsidRPr="00B679B0">
        <w:rPr>
          <w:rFonts w:ascii="Times New Roman" w:eastAsia="宋体" w:hAnsi="Times New Roman" w:cs="Times New Roman" w:hint="eastAsia"/>
          <w:b/>
          <w:bCs/>
          <w:color w:val="000000"/>
          <w:sz w:val="28"/>
          <w:szCs w:val="28"/>
        </w:rPr>
        <w:t>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D377D8" w:rsidRPr="00D377D8">
        <w:rPr>
          <w:rFonts w:ascii="宋体" w:eastAsia="宋体" w:hAnsi="宋体" w:cs="Calibri" w:hint="eastAsia"/>
          <w:kern w:val="0"/>
          <w:szCs w:val="21"/>
        </w:rPr>
        <w:t>中信建投证券股份有限公司</w:t>
      </w:r>
      <w:r w:rsidRPr="008B2A21">
        <w:rPr>
          <w:rFonts w:ascii="宋体" w:eastAsia="宋体" w:hAnsi="宋体" w:cs="Calibri" w:hint="eastAsia"/>
          <w:kern w:val="0"/>
          <w:szCs w:val="21"/>
        </w:rPr>
        <w:t>（以下简称“</w:t>
      </w:r>
      <w:r w:rsidR="00D377D8">
        <w:rPr>
          <w:rFonts w:ascii="宋体" w:eastAsia="宋体" w:hAnsi="宋体" w:cs="Calibri" w:hint="eastAsia"/>
          <w:kern w:val="0"/>
          <w:szCs w:val="21"/>
        </w:rPr>
        <w:t>中信建投证券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w:t>
      </w:r>
      <w:r w:rsidR="00727B89">
        <w:rPr>
          <w:rFonts w:ascii="宋体" w:eastAsia="宋体" w:hAnsi="宋体" w:cs="Arial"/>
          <w:kern w:val="0"/>
          <w:szCs w:val="21"/>
        </w:rPr>
        <w:t>4</w:t>
      </w:r>
      <w:r w:rsidRPr="008B2A21">
        <w:rPr>
          <w:rFonts w:ascii="宋体" w:eastAsia="宋体" w:hAnsi="宋体" w:cs="Calibri" w:hint="eastAsia"/>
          <w:kern w:val="0"/>
          <w:szCs w:val="21"/>
        </w:rPr>
        <w:t>年</w:t>
      </w:r>
      <w:r w:rsidR="003E47FA">
        <w:rPr>
          <w:rFonts w:ascii="宋体" w:eastAsia="宋体" w:hAnsi="宋体" w:cs="Calibri" w:hint="eastAsia"/>
          <w:kern w:val="0"/>
          <w:szCs w:val="21"/>
        </w:rPr>
        <w:t>4</w:t>
      </w:r>
      <w:r w:rsidRPr="008B2A21">
        <w:rPr>
          <w:rFonts w:ascii="宋体" w:eastAsia="宋体" w:hAnsi="宋体" w:cs="Calibri" w:hint="eastAsia"/>
          <w:kern w:val="0"/>
          <w:szCs w:val="21"/>
        </w:rPr>
        <w:t>月</w:t>
      </w:r>
      <w:r w:rsidR="003E47FA">
        <w:rPr>
          <w:rFonts w:ascii="宋体" w:eastAsia="宋体" w:hAnsi="宋体" w:cs="Calibri" w:hint="eastAsia"/>
          <w:kern w:val="0"/>
          <w:szCs w:val="21"/>
        </w:rPr>
        <w:t>1</w:t>
      </w:r>
      <w:r w:rsidR="00D377D8">
        <w:rPr>
          <w:rFonts w:ascii="宋体" w:eastAsia="宋体" w:hAnsi="宋体" w:cs="Arial"/>
          <w:kern w:val="0"/>
          <w:szCs w:val="21"/>
        </w:rPr>
        <w:t>6</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D377D8">
        <w:rPr>
          <w:rFonts w:ascii="宋体" w:eastAsia="宋体" w:hAnsi="宋体" w:cs="Calibri" w:hint="eastAsia"/>
          <w:kern w:val="0"/>
          <w:szCs w:val="21"/>
        </w:rPr>
        <w:t>中信建投证券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D377D8">
        <w:rPr>
          <w:rFonts w:ascii="宋体" w:eastAsia="宋体" w:hAnsi="宋体" w:cs="Calibri" w:hint="eastAsia"/>
          <w:kern w:val="0"/>
          <w:szCs w:val="21"/>
        </w:rPr>
        <w:t>中信建投证券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98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4435"/>
        <w:gridCol w:w="1276"/>
        <w:gridCol w:w="1276"/>
        <w:gridCol w:w="1642"/>
      </w:tblGrid>
      <w:tr w:rsidR="00777B78" w:rsidRPr="00D377D8" w:rsidTr="00777B78">
        <w:trPr>
          <w:trHeight w:val="283"/>
        </w:trPr>
        <w:tc>
          <w:tcPr>
            <w:tcW w:w="1236" w:type="dxa"/>
            <w:shd w:val="clear" w:color="auto" w:fill="auto"/>
            <w:noWrap/>
            <w:vAlign w:val="center"/>
            <w:hideMark/>
          </w:tcPr>
          <w:p w:rsidR="00777B78" w:rsidRPr="00D377D8" w:rsidRDefault="00777B78" w:rsidP="00777B78">
            <w:pPr>
              <w:jc w:val="center"/>
              <w:rPr>
                <w:rFonts w:ascii="宋体" w:eastAsia="宋体" w:hAnsi="宋体"/>
                <w:b/>
                <w:szCs w:val="21"/>
              </w:rPr>
            </w:pPr>
            <w:r w:rsidRPr="00D377D8">
              <w:rPr>
                <w:rFonts w:ascii="宋体" w:eastAsia="宋体" w:hAnsi="宋体" w:hint="eastAsia"/>
                <w:b/>
                <w:szCs w:val="21"/>
              </w:rPr>
              <w:t>基金代码</w:t>
            </w:r>
          </w:p>
        </w:tc>
        <w:tc>
          <w:tcPr>
            <w:tcW w:w="4435" w:type="dxa"/>
            <w:shd w:val="clear" w:color="auto" w:fill="auto"/>
            <w:noWrap/>
            <w:vAlign w:val="center"/>
            <w:hideMark/>
          </w:tcPr>
          <w:p w:rsidR="00777B78" w:rsidRPr="00D377D8" w:rsidRDefault="00777B78" w:rsidP="00777B78">
            <w:pPr>
              <w:jc w:val="center"/>
              <w:rPr>
                <w:rFonts w:ascii="宋体" w:eastAsia="宋体" w:hAnsi="宋体"/>
                <w:b/>
                <w:szCs w:val="21"/>
              </w:rPr>
            </w:pPr>
            <w:r w:rsidRPr="00D377D8">
              <w:rPr>
                <w:rFonts w:ascii="宋体" w:eastAsia="宋体" w:hAnsi="宋体" w:hint="eastAsia"/>
                <w:b/>
                <w:szCs w:val="21"/>
              </w:rPr>
              <w:t>基金名称</w:t>
            </w:r>
          </w:p>
        </w:tc>
        <w:tc>
          <w:tcPr>
            <w:tcW w:w="1276" w:type="dxa"/>
            <w:vAlign w:val="center"/>
          </w:tcPr>
          <w:p w:rsidR="00777B78" w:rsidRDefault="00777B78" w:rsidP="00777B78">
            <w:pPr>
              <w:jc w:val="center"/>
              <w:rPr>
                <w:rFonts w:ascii="宋体" w:eastAsia="宋体" w:hAnsi="宋体"/>
                <w:b/>
                <w:szCs w:val="21"/>
              </w:rPr>
            </w:pPr>
            <w:r>
              <w:rPr>
                <w:rFonts w:ascii="宋体" w:eastAsia="宋体" w:hAnsi="宋体" w:hint="eastAsia"/>
                <w:b/>
                <w:szCs w:val="21"/>
              </w:rPr>
              <w:t>是否开通定投</w:t>
            </w:r>
            <w:r w:rsidRPr="00D377D8">
              <w:rPr>
                <w:rFonts w:ascii="宋体" w:eastAsia="宋体" w:hAnsi="宋体" w:hint="eastAsia"/>
                <w:b/>
                <w:szCs w:val="21"/>
              </w:rPr>
              <w:t>业务</w:t>
            </w:r>
          </w:p>
        </w:tc>
        <w:tc>
          <w:tcPr>
            <w:tcW w:w="1276" w:type="dxa"/>
            <w:shd w:val="clear" w:color="auto" w:fill="auto"/>
            <w:noWrap/>
            <w:vAlign w:val="center"/>
            <w:hideMark/>
          </w:tcPr>
          <w:p w:rsidR="00777B78" w:rsidRPr="00D377D8" w:rsidRDefault="00777B78" w:rsidP="00777B78">
            <w:pPr>
              <w:jc w:val="center"/>
              <w:rPr>
                <w:rFonts w:ascii="宋体" w:eastAsia="宋体" w:hAnsi="宋体"/>
                <w:b/>
                <w:szCs w:val="21"/>
              </w:rPr>
            </w:pPr>
            <w:r>
              <w:rPr>
                <w:rFonts w:ascii="宋体" w:eastAsia="宋体" w:hAnsi="宋体" w:hint="eastAsia"/>
                <w:b/>
                <w:szCs w:val="21"/>
              </w:rPr>
              <w:t>是否开通转换</w:t>
            </w:r>
            <w:r w:rsidRPr="00D377D8">
              <w:rPr>
                <w:rFonts w:ascii="宋体" w:eastAsia="宋体" w:hAnsi="宋体" w:hint="eastAsia"/>
                <w:b/>
                <w:szCs w:val="21"/>
              </w:rPr>
              <w:t>业务</w:t>
            </w:r>
          </w:p>
        </w:tc>
        <w:tc>
          <w:tcPr>
            <w:tcW w:w="1642" w:type="dxa"/>
            <w:shd w:val="clear" w:color="auto" w:fill="auto"/>
            <w:noWrap/>
            <w:vAlign w:val="center"/>
            <w:hideMark/>
          </w:tcPr>
          <w:p w:rsidR="00777B78" w:rsidRPr="00D377D8" w:rsidRDefault="00777B78" w:rsidP="00777B78">
            <w:pPr>
              <w:jc w:val="center"/>
              <w:rPr>
                <w:rFonts w:ascii="宋体" w:eastAsia="宋体" w:hAnsi="宋体"/>
                <w:b/>
                <w:szCs w:val="21"/>
              </w:rPr>
            </w:pPr>
            <w:r w:rsidRPr="00D377D8">
              <w:rPr>
                <w:rFonts w:ascii="宋体" w:eastAsia="宋体" w:hAnsi="宋体" w:hint="eastAsia"/>
                <w:b/>
                <w:szCs w:val="21"/>
              </w:rPr>
              <w:t>是否参加销售机构申购（含定期定额申购）费率优惠</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001422</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景顺长城安享回报灵活配置混合型证券投资基金A</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是</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001423</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景顺长城安享回报灵活配置混合型证券投资基金C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016906</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景顺长城品质投资混合型证券投资基金C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016935</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景顺长城中证500指数增强型证券投资基金C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016988</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景顺长城大中华混合型证券投资基金(QDII)人民币C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017170</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景顺长城优势企业混合型证券投资基金C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017926</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景顺长城政策性金融债债券型证券投资基金C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不开通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018600</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景顺长城鼎益混合型证券投资基金(LOF)C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BC3E35" w:rsidP="00777B78">
            <w:pPr>
              <w:rPr>
                <w:rFonts w:ascii="宋体" w:eastAsia="宋体" w:hAnsi="宋体"/>
                <w:szCs w:val="21"/>
              </w:rPr>
            </w:pPr>
            <w:r>
              <w:rPr>
                <w:rFonts w:ascii="宋体" w:eastAsia="宋体" w:hAnsi="宋体" w:hint="eastAsia"/>
                <w:szCs w:val="21"/>
              </w:rPr>
              <w:t>L</w:t>
            </w:r>
            <w:r>
              <w:rPr>
                <w:rFonts w:ascii="宋体" w:eastAsia="宋体" w:hAnsi="宋体"/>
                <w:szCs w:val="21"/>
              </w:rPr>
              <w:t>OF</w:t>
            </w:r>
            <w:r>
              <w:rPr>
                <w:rFonts w:ascii="宋体" w:eastAsia="宋体" w:hAnsi="宋体" w:hint="eastAsia"/>
                <w:szCs w:val="21"/>
              </w:rPr>
              <w:t>互转</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018553</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景顺长城中小盘混合型证券投资基金C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018861</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景顺长城量化港股通股票型证券投资基金C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018817</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景顺长城中小创精选股票型证券投资基金C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018998</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景顺长城研究精选股票型证券投资基金C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018995</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景顺长城中国回报灵活配置混合型证券投资基金C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019215</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景顺长城量化平衡灵活配置混合型证券投资基金C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019239</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景顺长城创业板综指增强型证券投资基金C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019251</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景顺长城MSCI中国A股国际通指数增强型证券投资基金C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019359</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景顺长城中证500行业中性低波动指数型证券投资基金C</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020589</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景顺长城睿丰短债债券型证券投资基金F</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r w:rsidR="00777B78" w:rsidRPr="00D377D8" w:rsidTr="00777B78">
        <w:trPr>
          <w:trHeight w:val="269"/>
        </w:trPr>
        <w:tc>
          <w:tcPr>
            <w:tcW w:w="123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020656</w:t>
            </w:r>
          </w:p>
        </w:tc>
        <w:tc>
          <w:tcPr>
            <w:tcW w:w="4435"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景顺长城中短债债券型证券投资基金F</w:t>
            </w:r>
          </w:p>
        </w:tc>
        <w:tc>
          <w:tcPr>
            <w:tcW w:w="1276" w:type="dxa"/>
            <w:vAlign w:val="center"/>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276"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开通</w:t>
            </w:r>
          </w:p>
        </w:tc>
        <w:tc>
          <w:tcPr>
            <w:tcW w:w="1642" w:type="dxa"/>
            <w:shd w:val="clear" w:color="auto" w:fill="auto"/>
            <w:noWrap/>
            <w:vAlign w:val="center"/>
            <w:hideMark/>
          </w:tcPr>
          <w:p w:rsidR="00777B78" w:rsidRPr="00D377D8" w:rsidRDefault="00777B78" w:rsidP="00777B78">
            <w:pPr>
              <w:rPr>
                <w:rFonts w:ascii="宋体" w:eastAsia="宋体" w:hAnsi="宋体"/>
                <w:szCs w:val="21"/>
              </w:rPr>
            </w:pPr>
            <w:r w:rsidRPr="00D377D8">
              <w:rPr>
                <w:rFonts w:ascii="宋体" w:eastAsia="宋体" w:hAnsi="宋体" w:hint="eastAsia"/>
                <w:szCs w:val="21"/>
              </w:rPr>
              <w:t>不适用</w:t>
            </w:r>
          </w:p>
        </w:tc>
      </w:tr>
    </w:tbl>
    <w:p w:rsidR="00D33E8D" w:rsidRDefault="00C21B09" w:rsidP="00D377D8">
      <w:pPr>
        <w:widowControl/>
        <w:spacing w:line="360" w:lineRule="auto"/>
        <w:ind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lastRenderedPageBreak/>
        <w:t>注：</w:t>
      </w:r>
      <w:r w:rsidR="00D33E8D">
        <w:rPr>
          <w:rFonts w:ascii="宋体" w:eastAsia="宋体" w:hAnsi="宋体" w:cs="Arial" w:hint="eastAsia"/>
          <w:color w:val="000000"/>
          <w:kern w:val="0"/>
          <w:szCs w:val="21"/>
        </w:rPr>
        <w:t>（1）</w:t>
      </w:r>
      <w:r w:rsidR="00D33E8D" w:rsidRPr="00D33E8D">
        <w:rPr>
          <w:rFonts w:ascii="宋体" w:eastAsia="宋体" w:hAnsi="宋体" w:cs="Arial" w:hint="eastAsia"/>
          <w:color w:val="000000"/>
          <w:kern w:val="0"/>
          <w:szCs w:val="21"/>
        </w:rPr>
        <w:t>景顺长城鼎益混合型证券投资基金</w:t>
      </w:r>
      <w:r w:rsidR="00D33E8D">
        <w:rPr>
          <w:rFonts w:ascii="宋体" w:eastAsia="宋体" w:hAnsi="宋体" w:cs="Arial" w:hint="eastAsia"/>
          <w:color w:val="000000"/>
          <w:kern w:val="0"/>
          <w:szCs w:val="21"/>
        </w:rPr>
        <w:t>（</w:t>
      </w:r>
      <w:r w:rsidR="00D33E8D" w:rsidRPr="00D33E8D">
        <w:rPr>
          <w:rFonts w:ascii="宋体" w:eastAsia="宋体" w:hAnsi="宋体" w:cs="Arial"/>
          <w:color w:val="000000"/>
          <w:kern w:val="0"/>
          <w:szCs w:val="21"/>
        </w:rPr>
        <w:t>LOF</w:t>
      </w:r>
      <w:r w:rsidR="00D33E8D">
        <w:rPr>
          <w:rFonts w:ascii="宋体" w:eastAsia="宋体" w:hAnsi="宋体" w:cs="Arial" w:hint="eastAsia"/>
          <w:color w:val="000000"/>
          <w:kern w:val="0"/>
          <w:szCs w:val="21"/>
        </w:rPr>
        <w:t>）</w:t>
      </w:r>
      <w:r w:rsidR="00D33E8D" w:rsidRPr="00D33E8D">
        <w:rPr>
          <w:rFonts w:ascii="宋体" w:eastAsia="宋体" w:hAnsi="宋体" w:cs="Arial"/>
          <w:color w:val="000000"/>
          <w:kern w:val="0"/>
          <w:szCs w:val="21"/>
        </w:rPr>
        <w:t>C（基金代码：018600）仅开通与景顺长城资源垄断混合型证券投资基金（LOF）（基金代码：162607）场外份额之间的互转业务，暂未开通与其他基金之间的转换业务。</w:t>
      </w:r>
    </w:p>
    <w:p w:rsidR="00C21B09" w:rsidRPr="0056110C" w:rsidRDefault="00D33E8D" w:rsidP="00D377D8">
      <w:pPr>
        <w:widowControl/>
        <w:spacing w:line="360" w:lineRule="auto"/>
        <w:ind w:firstLine="420"/>
        <w:jc w:val="left"/>
        <w:rPr>
          <w:rFonts w:ascii="宋体" w:eastAsia="宋体" w:hAnsi="宋体" w:cs="Arial"/>
          <w:color w:val="000000"/>
          <w:kern w:val="0"/>
          <w:szCs w:val="21"/>
        </w:rPr>
      </w:pPr>
      <w:r>
        <w:rPr>
          <w:rFonts w:ascii="宋体" w:eastAsia="宋体" w:hAnsi="宋体" w:cs="Arial" w:hint="eastAsia"/>
          <w:color w:val="000000"/>
          <w:kern w:val="0"/>
          <w:szCs w:val="21"/>
        </w:rPr>
        <w:t>（2）</w:t>
      </w:r>
      <w:r w:rsidR="00C21B09" w:rsidRPr="00275D88">
        <w:rPr>
          <w:rFonts w:ascii="宋体" w:eastAsia="宋体" w:hAnsi="宋体" w:cs="Arial" w:hint="eastAsia"/>
          <w:color w:val="000000"/>
          <w:kern w:val="0"/>
          <w:szCs w:val="21"/>
        </w:rPr>
        <w:t>本公司新增委托</w:t>
      </w:r>
      <w:r w:rsidR="00D377D8">
        <w:rPr>
          <w:rFonts w:ascii="宋体" w:eastAsia="宋体" w:hAnsi="宋体" w:cs="Arial" w:hint="eastAsia"/>
          <w:color w:val="000000"/>
          <w:kern w:val="0"/>
          <w:szCs w:val="21"/>
        </w:rPr>
        <w:t>中信建投证券</w:t>
      </w:r>
      <w:r w:rsidR="00C21B09"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4E706A"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8038EA"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D377D8" w:rsidRPr="00D377D8">
        <w:rPr>
          <w:rFonts w:ascii="宋体" w:eastAsia="宋体" w:hAnsi="宋体" w:cs="Arial" w:hint="eastAsia"/>
          <w:color w:val="000000"/>
          <w:kern w:val="0"/>
          <w:szCs w:val="21"/>
        </w:rPr>
        <w:t>中信建投证券股份有限公司</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kern w:val="0"/>
          <w:szCs w:val="21"/>
        </w:rPr>
        <w:t>注册地址：北京市朝阳区安立路66号4号楼</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办公地址：北京市朝阳区光华路</w:t>
      </w:r>
      <w:r w:rsidRPr="00D377D8">
        <w:rPr>
          <w:rFonts w:ascii="宋体" w:eastAsia="宋体" w:hAnsi="宋体" w:cs="Arial"/>
          <w:kern w:val="0"/>
          <w:szCs w:val="21"/>
        </w:rPr>
        <w:t xml:space="preserve">10号 </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法定代表人：王常青</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联系人：陈海静</w:t>
      </w:r>
      <w:r w:rsidRPr="00D377D8">
        <w:rPr>
          <w:rFonts w:ascii="宋体" w:eastAsia="宋体" w:hAnsi="宋体" w:cs="Arial"/>
          <w:kern w:val="0"/>
          <w:szCs w:val="21"/>
        </w:rPr>
        <w:t xml:space="preserve"> </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电话：</w:t>
      </w:r>
      <w:r w:rsidR="00DA3756" w:rsidRPr="00DA3756">
        <w:rPr>
          <w:rFonts w:ascii="宋体" w:eastAsia="宋体" w:hAnsi="宋体" w:cs="Arial"/>
          <w:kern w:val="0"/>
          <w:szCs w:val="21"/>
        </w:rPr>
        <w:t>010-56135785</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客户服务电话</w:t>
      </w:r>
      <w:r w:rsidRPr="00D377D8">
        <w:rPr>
          <w:rFonts w:ascii="宋体" w:eastAsia="宋体" w:hAnsi="宋体" w:cs="Arial"/>
          <w:kern w:val="0"/>
          <w:szCs w:val="21"/>
        </w:rPr>
        <w:t>: 4008888108/95587</w:t>
      </w:r>
    </w:p>
    <w:p w:rsidR="007953C7"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网址：</w:t>
      </w:r>
      <w:r>
        <w:rPr>
          <w:rFonts w:ascii="宋体" w:eastAsia="宋体" w:hAnsi="宋体" w:cs="Arial"/>
          <w:kern w:val="0"/>
          <w:szCs w:val="21"/>
        </w:rPr>
        <w:t>www.csc108.com</w:t>
      </w:r>
    </w:p>
    <w:p w:rsidR="003E47FA" w:rsidRDefault="003E47FA" w:rsidP="007953C7">
      <w:pPr>
        <w:widowControl/>
        <w:spacing w:line="360" w:lineRule="auto"/>
        <w:ind w:firstLineChars="200" w:firstLine="420"/>
        <w:jc w:val="left"/>
        <w:rPr>
          <w:rFonts w:ascii="宋体" w:eastAsia="宋体" w:hAnsi="宋体" w:cs="Arial"/>
          <w:kern w:val="0"/>
          <w:szCs w:val="21"/>
        </w:rPr>
      </w:pPr>
    </w:p>
    <w:p w:rsidR="00C21B09" w:rsidRPr="00275D88" w:rsidRDefault="00C21B09" w:rsidP="007953C7">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lastRenderedPageBreak/>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w:t>
      </w:r>
      <w:r w:rsidR="00B41EA6" w:rsidRPr="00B41EA6">
        <w:rPr>
          <w:rFonts w:ascii="宋体" w:eastAsia="宋体" w:hAnsi="宋体" w:cs="Arial"/>
          <w:kern w:val="0"/>
          <w:szCs w:val="21"/>
        </w:rPr>
        <w:t>400-820-2899</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D377D8" w:rsidRPr="00D377D8">
        <w:rPr>
          <w:rFonts w:ascii="宋体" w:eastAsia="宋体" w:hAnsi="宋体" w:cs="Arial" w:hint="eastAsia"/>
          <w:color w:val="000000"/>
          <w:kern w:val="0"/>
          <w:szCs w:val="21"/>
        </w:rPr>
        <w:t>中信建投证券股份有限公司</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客户服务电话</w:t>
      </w:r>
      <w:r w:rsidRPr="00D377D8">
        <w:rPr>
          <w:rFonts w:ascii="宋体" w:eastAsia="宋体" w:hAnsi="宋体" w:cs="Arial"/>
          <w:kern w:val="0"/>
          <w:szCs w:val="21"/>
        </w:rPr>
        <w:t>: 4008888108/95587</w:t>
      </w:r>
    </w:p>
    <w:p w:rsidR="00D377D8" w:rsidRPr="00D377D8" w:rsidRDefault="00D377D8" w:rsidP="00D377D8">
      <w:pPr>
        <w:widowControl/>
        <w:spacing w:line="360" w:lineRule="auto"/>
        <w:ind w:firstLineChars="200" w:firstLine="420"/>
        <w:jc w:val="left"/>
        <w:rPr>
          <w:rFonts w:ascii="宋体" w:eastAsia="宋体" w:hAnsi="宋体" w:cs="Arial"/>
          <w:kern w:val="0"/>
          <w:szCs w:val="21"/>
        </w:rPr>
      </w:pPr>
      <w:r w:rsidRPr="00D377D8">
        <w:rPr>
          <w:rFonts w:ascii="宋体" w:eastAsia="宋体" w:hAnsi="宋体" w:cs="Arial" w:hint="eastAsia"/>
          <w:kern w:val="0"/>
          <w:szCs w:val="21"/>
        </w:rPr>
        <w:t>网址：</w:t>
      </w:r>
      <w:r>
        <w:rPr>
          <w:rFonts w:ascii="宋体" w:eastAsia="宋体" w:hAnsi="宋体" w:cs="Arial"/>
          <w:kern w:val="0"/>
          <w:szCs w:val="21"/>
        </w:rPr>
        <w:t>www.csc108.com</w:t>
      </w:r>
    </w:p>
    <w:p w:rsidR="006E7DB0" w:rsidRPr="003E47FA" w:rsidRDefault="006E7DB0" w:rsidP="00D377D8">
      <w:pPr>
        <w:widowControl/>
        <w:spacing w:line="360" w:lineRule="auto"/>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727B89">
        <w:rPr>
          <w:rFonts w:ascii="宋体" w:eastAsia="宋体" w:hAnsi="宋体" w:cs="Arial" w:hint="eastAsia"/>
          <w:kern w:val="0"/>
          <w:szCs w:val="21"/>
        </w:rPr>
        <w:t>四</w:t>
      </w:r>
      <w:r w:rsidRPr="00275D88">
        <w:rPr>
          <w:rFonts w:ascii="宋体" w:eastAsia="宋体" w:hAnsi="宋体" w:cs="Arial"/>
          <w:kern w:val="0"/>
          <w:szCs w:val="21"/>
        </w:rPr>
        <w:t>年</w:t>
      </w:r>
      <w:r w:rsidR="003E47FA">
        <w:rPr>
          <w:rFonts w:ascii="宋体" w:eastAsia="宋体" w:hAnsi="宋体" w:cs="Arial" w:hint="eastAsia"/>
          <w:kern w:val="0"/>
          <w:szCs w:val="21"/>
        </w:rPr>
        <w:t>四</w:t>
      </w:r>
      <w:r w:rsidRPr="00275D88">
        <w:rPr>
          <w:rFonts w:ascii="宋体" w:eastAsia="宋体" w:hAnsi="宋体" w:cs="Arial"/>
          <w:kern w:val="0"/>
          <w:szCs w:val="21"/>
        </w:rPr>
        <w:t>月</w:t>
      </w:r>
      <w:r w:rsidR="00D377D8">
        <w:rPr>
          <w:rFonts w:ascii="宋体" w:eastAsia="宋体" w:hAnsi="宋体" w:cs="Arial" w:hint="eastAsia"/>
          <w:kern w:val="0"/>
          <w:szCs w:val="21"/>
        </w:rPr>
        <w:t>十六</w:t>
      </w:r>
      <w:r w:rsidRPr="00275D88">
        <w:rPr>
          <w:rFonts w:ascii="宋体" w:eastAsia="宋体" w:hAnsi="宋体" w:cs="Arial"/>
          <w:kern w:val="0"/>
          <w:szCs w:val="21"/>
        </w:rPr>
        <w:t>日</w:t>
      </w:r>
    </w:p>
    <w:p w:rsidR="009C4ECF" w:rsidRPr="00F856F4" w:rsidRDefault="009C4ECF">
      <w:pPr>
        <w:rPr>
          <w:rFonts w:ascii="宋体" w:eastAsia="宋体" w:hAnsi="宋体"/>
          <w:sz w:val="24"/>
          <w:szCs w:val="24"/>
        </w:rPr>
      </w:pPr>
    </w:p>
    <w:sectPr w:rsidR="009C4ECF" w:rsidRPr="00F856F4" w:rsidSect="001A0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35" w:rsidRDefault="00FC5235" w:rsidP="00484A24">
      <w:r>
        <w:separator/>
      </w:r>
    </w:p>
  </w:endnote>
  <w:endnote w:type="continuationSeparator" w:id="0">
    <w:p w:rsidR="00FC5235" w:rsidRDefault="00FC5235"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35" w:rsidRDefault="00FC5235" w:rsidP="00484A24">
      <w:r>
        <w:separator/>
      </w:r>
    </w:p>
  </w:footnote>
  <w:footnote w:type="continuationSeparator" w:id="0">
    <w:p w:rsidR="00FC5235" w:rsidRDefault="00FC5235"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163E0"/>
    <w:rsid w:val="000225E0"/>
    <w:rsid w:val="0004572D"/>
    <w:rsid w:val="00087DB9"/>
    <w:rsid w:val="000F1CDE"/>
    <w:rsid w:val="00134C88"/>
    <w:rsid w:val="00143949"/>
    <w:rsid w:val="00157004"/>
    <w:rsid w:val="00160087"/>
    <w:rsid w:val="00163206"/>
    <w:rsid w:val="001A0967"/>
    <w:rsid w:val="001A1770"/>
    <w:rsid w:val="001B7F12"/>
    <w:rsid w:val="001E4548"/>
    <w:rsid w:val="00200C90"/>
    <w:rsid w:val="00216991"/>
    <w:rsid w:val="00220BAF"/>
    <w:rsid w:val="00275D88"/>
    <w:rsid w:val="002822A9"/>
    <w:rsid w:val="002C4589"/>
    <w:rsid w:val="002C6047"/>
    <w:rsid w:val="003E16A6"/>
    <w:rsid w:val="003E47FA"/>
    <w:rsid w:val="00403445"/>
    <w:rsid w:val="00484A24"/>
    <w:rsid w:val="004B6310"/>
    <w:rsid w:val="004E706A"/>
    <w:rsid w:val="0050197F"/>
    <w:rsid w:val="0050764C"/>
    <w:rsid w:val="005143B9"/>
    <w:rsid w:val="00527A9B"/>
    <w:rsid w:val="0053504F"/>
    <w:rsid w:val="00547C38"/>
    <w:rsid w:val="0056110C"/>
    <w:rsid w:val="00561FF4"/>
    <w:rsid w:val="00566D4E"/>
    <w:rsid w:val="005E6624"/>
    <w:rsid w:val="00603B86"/>
    <w:rsid w:val="006801C5"/>
    <w:rsid w:val="006802E0"/>
    <w:rsid w:val="006A3043"/>
    <w:rsid w:val="006E6DD9"/>
    <w:rsid w:val="006E7DB0"/>
    <w:rsid w:val="00727B89"/>
    <w:rsid w:val="00777B78"/>
    <w:rsid w:val="007953C7"/>
    <w:rsid w:val="007E5331"/>
    <w:rsid w:val="008038EA"/>
    <w:rsid w:val="008074C5"/>
    <w:rsid w:val="008152BF"/>
    <w:rsid w:val="008458E8"/>
    <w:rsid w:val="008552FD"/>
    <w:rsid w:val="00862005"/>
    <w:rsid w:val="0087760D"/>
    <w:rsid w:val="008B2A21"/>
    <w:rsid w:val="008C7626"/>
    <w:rsid w:val="008F1D54"/>
    <w:rsid w:val="00981D3D"/>
    <w:rsid w:val="0098563E"/>
    <w:rsid w:val="00990913"/>
    <w:rsid w:val="009C4ECF"/>
    <w:rsid w:val="009C6B57"/>
    <w:rsid w:val="009D7868"/>
    <w:rsid w:val="009E29FC"/>
    <w:rsid w:val="00A11CD2"/>
    <w:rsid w:val="00A6218D"/>
    <w:rsid w:val="00A625A8"/>
    <w:rsid w:val="00A71C46"/>
    <w:rsid w:val="00A727C6"/>
    <w:rsid w:val="00A779BC"/>
    <w:rsid w:val="00AD4B0E"/>
    <w:rsid w:val="00AF3C54"/>
    <w:rsid w:val="00B06DBD"/>
    <w:rsid w:val="00B22BB0"/>
    <w:rsid w:val="00B33273"/>
    <w:rsid w:val="00B41EA6"/>
    <w:rsid w:val="00B4510C"/>
    <w:rsid w:val="00B679B0"/>
    <w:rsid w:val="00B94043"/>
    <w:rsid w:val="00BC3E35"/>
    <w:rsid w:val="00BC7C2E"/>
    <w:rsid w:val="00BE3456"/>
    <w:rsid w:val="00BE72B1"/>
    <w:rsid w:val="00C21B09"/>
    <w:rsid w:val="00C64448"/>
    <w:rsid w:val="00C846EE"/>
    <w:rsid w:val="00CB7407"/>
    <w:rsid w:val="00CD3D64"/>
    <w:rsid w:val="00D33E8D"/>
    <w:rsid w:val="00D377D8"/>
    <w:rsid w:val="00D404C2"/>
    <w:rsid w:val="00DA3756"/>
    <w:rsid w:val="00E45CB2"/>
    <w:rsid w:val="00E74E5E"/>
    <w:rsid w:val="00E758CB"/>
    <w:rsid w:val="00E87CF1"/>
    <w:rsid w:val="00EC0AD8"/>
    <w:rsid w:val="00ED22A4"/>
    <w:rsid w:val="00F856F4"/>
    <w:rsid w:val="00FA1AEA"/>
    <w:rsid w:val="00FC52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 w:type="character" w:styleId="ab">
    <w:name w:val="FollowedHyperlink"/>
    <w:basedOn w:val="a0"/>
    <w:uiPriority w:val="99"/>
    <w:semiHidden/>
    <w:unhideWhenUsed/>
    <w:rsid w:val="006E6DD9"/>
    <w:rPr>
      <w:color w:val="954F72"/>
      <w:u w:val="single"/>
    </w:rPr>
  </w:style>
  <w:style w:type="paragraph" w:customStyle="1" w:styleId="msonormal0">
    <w:name w:val="msonormal"/>
    <w:basedOn w:val="a"/>
    <w:rsid w:val="006E6DD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E6DD9"/>
    <w:pPr>
      <w:widowControl/>
      <w:spacing w:before="100" w:beforeAutospacing="1" w:after="100" w:afterAutospacing="1"/>
      <w:jc w:val="left"/>
    </w:pPr>
    <w:rPr>
      <w:rFonts w:ascii="等线" w:eastAsia="等线" w:hAnsi="等线" w:cs="宋体"/>
      <w:kern w:val="0"/>
      <w:sz w:val="18"/>
      <w:szCs w:val="18"/>
    </w:rPr>
  </w:style>
  <w:style w:type="paragraph" w:customStyle="1" w:styleId="xl64">
    <w:name w:val="xl64"/>
    <w:basedOn w:val="a"/>
    <w:rsid w:val="006E6DD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paragraph" w:customStyle="1" w:styleId="xl65">
    <w:name w:val="xl65"/>
    <w:basedOn w:val="a"/>
    <w:rsid w:val="006E6DD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Cs w:val="21"/>
    </w:rPr>
  </w:style>
  <w:style w:type="table" w:styleId="ac">
    <w:name w:val="Table Grid"/>
    <w:basedOn w:val="a1"/>
    <w:uiPriority w:val="39"/>
    <w:rsid w:val="003E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4552">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18371056">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258565982">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487987359">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48493732">
      <w:bodyDiv w:val="1"/>
      <w:marLeft w:val="0"/>
      <w:marRight w:val="0"/>
      <w:marTop w:val="0"/>
      <w:marBottom w:val="0"/>
      <w:divBdr>
        <w:top w:val="none" w:sz="0" w:space="0" w:color="auto"/>
        <w:left w:val="none" w:sz="0" w:space="0" w:color="auto"/>
        <w:bottom w:val="none" w:sz="0" w:space="0" w:color="auto"/>
        <w:right w:val="none" w:sz="0" w:space="0" w:color="auto"/>
      </w:divBdr>
    </w:div>
    <w:div w:id="689180626">
      <w:bodyDiv w:val="1"/>
      <w:marLeft w:val="0"/>
      <w:marRight w:val="0"/>
      <w:marTop w:val="0"/>
      <w:marBottom w:val="0"/>
      <w:divBdr>
        <w:top w:val="none" w:sz="0" w:space="0" w:color="auto"/>
        <w:left w:val="none" w:sz="0" w:space="0" w:color="auto"/>
        <w:bottom w:val="none" w:sz="0" w:space="0" w:color="auto"/>
        <w:right w:val="none" w:sz="0" w:space="0" w:color="auto"/>
      </w:divBdr>
    </w:div>
    <w:div w:id="841747073">
      <w:bodyDiv w:val="1"/>
      <w:marLeft w:val="0"/>
      <w:marRight w:val="0"/>
      <w:marTop w:val="0"/>
      <w:marBottom w:val="0"/>
      <w:divBdr>
        <w:top w:val="none" w:sz="0" w:space="0" w:color="auto"/>
        <w:left w:val="none" w:sz="0" w:space="0" w:color="auto"/>
        <w:bottom w:val="none" w:sz="0" w:space="0" w:color="auto"/>
        <w:right w:val="none" w:sz="0" w:space="0" w:color="auto"/>
      </w:divBdr>
    </w:div>
    <w:div w:id="854536265">
      <w:bodyDiv w:val="1"/>
      <w:marLeft w:val="0"/>
      <w:marRight w:val="0"/>
      <w:marTop w:val="0"/>
      <w:marBottom w:val="0"/>
      <w:divBdr>
        <w:top w:val="none" w:sz="0" w:space="0" w:color="auto"/>
        <w:left w:val="none" w:sz="0" w:space="0" w:color="auto"/>
        <w:bottom w:val="none" w:sz="0" w:space="0" w:color="auto"/>
        <w:right w:val="none" w:sz="0" w:space="0" w:color="auto"/>
      </w:divBdr>
    </w:div>
    <w:div w:id="1026830350">
      <w:bodyDiv w:val="1"/>
      <w:marLeft w:val="0"/>
      <w:marRight w:val="0"/>
      <w:marTop w:val="0"/>
      <w:marBottom w:val="0"/>
      <w:divBdr>
        <w:top w:val="none" w:sz="0" w:space="0" w:color="auto"/>
        <w:left w:val="none" w:sz="0" w:space="0" w:color="auto"/>
        <w:bottom w:val="none" w:sz="0" w:space="0" w:color="auto"/>
        <w:right w:val="none" w:sz="0" w:space="0" w:color="auto"/>
      </w:divBdr>
    </w:div>
    <w:div w:id="1116363238">
      <w:bodyDiv w:val="1"/>
      <w:marLeft w:val="0"/>
      <w:marRight w:val="0"/>
      <w:marTop w:val="0"/>
      <w:marBottom w:val="0"/>
      <w:divBdr>
        <w:top w:val="none" w:sz="0" w:space="0" w:color="auto"/>
        <w:left w:val="none" w:sz="0" w:space="0" w:color="auto"/>
        <w:bottom w:val="none" w:sz="0" w:space="0" w:color="auto"/>
        <w:right w:val="none" w:sz="0" w:space="0" w:color="auto"/>
      </w:divBdr>
    </w:div>
    <w:div w:id="1123112541">
      <w:bodyDiv w:val="1"/>
      <w:marLeft w:val="0"/>
      <w:marRight w:val="0"/>
      <w:marTop w:val="0"/>
      <w:marBottom w:val="0"/>
      <w:divBdr>
        <w:top w:val="none" w:sz="0" w:space="0" w:color="auto"/>
        <w:left w:val="none" w:sz="0" w:space="0" w:color="auto"/>
        <w:bottom w:val="none" w:sz="0" w:space="0" w:color="auto"/>
        <w:right w:val="none" w:sz="0" w:space="0" w:color="auto"/>
      </w:divBdr>
    </w:div>
    <w:div w:id="1149127510">
      <w:bodyDiv w:val="1"/>
      <w:marLeft w:val="0"/>
      <w:marRight w:val="0"/>
      <w:marTop w:val="0"/>
      <w:marBottom w:val="0"/>
      <w:divBdr>
        <w:top w:val="none" w:sz="0" w:space="0" w:color="auto"/>
        <w:left w:val="none" w:sz="0" w:space="0" w:color="auto"/>
        <w:bottom w:val="none" w:sz="0" w:space="0" w:color="auto"/>
        <w:right w:val="none" w:sz="0" w:space="0" w:color="auto"/>
      </w:divBdr>
    </w:div>
    <w:div w:id="1184396855">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52872417">
      <w:bodyDiv w:val="1"/>
      <w:marLeft w:val="0"/>
      <w:marRight w:val="0"/>
      <w:marTop w:val="0"/>
      <w:marBottom w:val="0"/>
      <w:divBdr>
        <w:top w:val="none" w:sz="0" w:space="0" w:color="auto"/>
        <w:left w:val="none" w:sz="0" w:space="0" w:color="auto"/>
        <w:bottom w:val="none" w:sz="0" w:space="0" w:color="auto"/>
        <w:right w:val="none" w:sz="0" w:space="0" w:color="auto"/>
      </w:divBdr>
    </w:div>
    <w:div w:id="1371145434">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11675667">
      <w:bodyDiv w:val="1"/>
      <w:marLeft w:val="0"/>
      <w:marRight w:val="0"/>
      <w:marTop w:val="0"/>
      <w:marBottom w:val="0"/>
      <w:divBdr>
        <w:top w:val="none" w:sz="0" w:space="0" w:color="auto"/>
        <w:left w:val="none" w:sz="0" w:space="0" w:color="auto"/>
        <w:bottom w:val="none" w:sz="0" w:space="0" w:color="auto"/>
        <w:right w:val="none" w:sz="0" w:space="0" w:color="auto"/>
      </w:divBdr>
    </w:div>
    <w:div w:id="1549412750">
      <w:bodyDiv w:val="1"/>
      <w:marLeft w:val="0"/>
      <w:marRight w:val="0"/>
      <w:marTop w:val="0"/>
      <w:marBottom w:val="0"/>
      <w:divBdr>
        <w:top w:val="none" w:sz="0" w:space="0" w:color="auto"/>
        <w:left w:val="none" w:sz="0" w:space="0" w:color="auto"/>
        <w:bottom w:val="none" w:sz="0" w:space="0" w:color="auto"/>
        <w:right w:val="none" w:sz="0" w:space="0" w:color="auto"/>
      </w:divBdr>
    </w:div>
    <w:div w:id="1613048934">
      <w:bodyDiv w:val="1"/>
      <w:marLeft w:val="0"/>
      <w:marRight w:val="0"/>
      <w:marTop w:val="0"/>
      <w:marBottom w:val="0"/>
      <w:divBdr>
        <w:top w:val="none" w:sz="0" w:space="0" w:color="auto"/>
        <w:left w:val="none" w:sz="0" w:space="0" w:color="auto"/>
        <w:bottom w:val="none" w:sz="0" w:space="0" w:color="auto"/>
        <w:right w:val="none" w:sz="0" w:space="0" w:color="auto"/>
      </w:divBdr>
    </w:div>
    <w:div w:id="1627158256">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34175311">
      <w:bodyDiv w:val="1"/>
      <w:marLeft w:val="0"/>
      <w:marRight w:val="0"/>
      <w:marTop w:val="0"/>
      <w:marBottom w:val="0"/>
      <w:divBdr>
        <w:top w:val="none" w:sz="0" w:space="0" w:color="auto"/>
        <w:left w:val="none" w:sz="0" w:space="0" w:color="auto"/>
        <w:bottom w:val="none" w:sz="0" w:space="0" w:color="auto"/>
        <w:right w:val="none" w:sz="0" w:space="0" w:color="auto"/>
      </w:divBdr>
    </w:div>
    <w:div w:id="1850098842">
      <w:bodyDiv w:val="1"/>
      <w:marLeft w:val="0"/>
      <w:marRight w:val="0"/>
      <w:marTop w:val="0"/>
      <w:marBottom w:val="0"/>
      <w:divBdr>
        <w:top w:val="none" w:sz="0" w:space="0" w:color="auto"/>
        <w:left w:val="none" w:sz="0" w:space="0" w:color="auto"/>
        <w:bottom w:val="none" w:sz="0" w:space="0" w:color="auto"/>
        <w:right w:val="none" w:sz="0" w:space="0" w:color="auto"/>
      </w:divBdr>
    </w:div>
    <w:div w:id="1895264706">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1983610840">
      <w:bodyDiv w:val="1"/>
      <w:marLeft w:val="0"/>
      <w:marRight w:val="0"/>
      <w:marTop w:val="0"/>
      <w:marBottom w:val="0"/>
      <w:divBdr>
        <w:top w:val="none" w:sz="0" w:space="0" w:color="auto"/>
        <w:left w:val="none" w:sz="0" w:space="0" w:color="auto"/>
        <w:bottom w:val="none" w:sz="0" w:space="0" w:color="auto"/>
        <w:right w:val="none" w:sz="0" w:space="0" w:color="auto"/>
      </w:divBdr>
    </w:div>
    <w:div w:id="1993682522">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4</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2024-04-15T16:01:00Z</dcterms:created>
  <dcterms:modified xsi:type="dcterms:W3CDTF">2024-04-15T16:01:00Z</dcterms:modified>
</cp:coreProperties>
</file>