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30" w:rsidRDefault="00932E30">
      <w:pPr>
        <w:spacing w:line="360" w:lineRule="auto"/>
        <w:jc w:val="center"/>
        <w:rPr>
          <w:rFonts w:hint="eastAsia"/>
          <w:b/>
          <w:sz w:val="24"/>
        </w:rPr>
      </w:pPr>
      <w:r>
        <w:rPr>
          <w:rFonts w:hint="eastAsia"/>
          <w:b/>
          <w:sz w:val="24"/>
        </w:rPr>
        <w:t>国联安基金管理有限公司关于旗下</w:t>
      </w:r>
      <w:r w:rsidR="007E1EB9">
        <w:rPr>
          <w:rFonts w:hint="eastAsia"/>
          <w:b/>
          <w:sz w:val="24"/>
        </w:rPr>
        <w:t>部分</w:t>
      </w:r>
      <w:r w:rsidR="0075305D" w:rsidRPr="0075305D">
        <w:rPr>
          <w:rFonts w:hint="eastAsia"/>
          <w:b/>
          <w:sz w:val="24"/>
        </w:rPr>
        <w:t>基金</w:t>
      </w:r>
      <w:r>
        <w:rPr>
          <w:rFonts w:hint="eastAsia"/>
          <w:b/>
          <w:sz w:val="24"/>
        </w:rPr>
        <w:t>增加</w:t>
      </w:r>
      <w:r w:rsidR="006D3014">
        <w:rPr>
          <w:rFonts w:ascii="宋体" w:hAnsi="宋体" w:hint="eastAsia"/>
          <w:b/>
          <w:sz w:val="24"/>
        </w:rPr>
        <w:t>西南</w:t>
      </w:r>
      <w:r w:rsidR="00F94A06">
        <w:rPr>
          <w:rFonts w:ascii="宋体" w:hAnsi="宋体" w:hint="eastAsia"/>
          <w:b/>
          <w:sz w:val="24"/>
        </w:rPr>
        <w:t>证券</w:t>
      </w:r>
      <w:r>
        <w:rPr>
          <w:rFonts w:hint="eastAsia"/>
          <w:b/>
          <w:sz w:val="24"/>
        </w:rPr>
        <w:t>为代销机构</w:t>
      </w:r>
      <w:r w:rsidR="00072DC7" w:rsidRPr="00072DC7">
        <w:rPr>
          <w:rFonts w:hint="eastAsia"/>
          <w:b/>
          <w:sz w:val="24"/>
        </w:rPr>
        <w:t>的公告</w:t>
      </w:r>
    </w:p>
    <w:p w:rsidR="00932E30" w:rsidRDefault="00932E30">
      <w:pPr>
        <w:jc w:val="center"/>
        <w:rPr>
          <w:rFonts w:hint="eastAsia"/>
          <w:b/>
          <w:sz w:val="24"/>
        </w:rPr>
      </w:pPr>
    </w:p>
    <w:p w:rsidR="00932E30" w:rsidRDefault="00932E30">
      <w:pPr>
        <w:spacing w:line="360" w:lineRule="auto"/>
        <w:ind w:firstLineChars="200" w:firstLine="420"/>
        <w:rPr>
          <w:rFonts w:ascii="Arial" w:cs="Arial" w:hint="eastAsia"/>
          <w:szCs w:val="21"/>
        </w:rPr>
      </w:pPr>
      <w:r>
        <w:rPr>
          <w:rFonts w:ascii="Arial" w:cs="Arial"/>
          <w:szCs w:val="21"/>
        </w:rPr>
        <w:t>根据国联安基金管理有限公司（以下简称</w:t>
      </w:r>
      <w:r>
        <w:rPr>
          <w:rFonts w:ascii="Arial" w:hAnsi="Arial" w:cs="Arial" w:hint="eastAsia"/>
          <w:szCs w:val="21"/>
        </w:rPr>
        <w:t>“</w:t>
      </w:r>
      <w:r>
        <w:rPr>
          <w:rFonts w:ascii="Arial" w:cs="Arial"/>
          <w:szCs w:val="21"/>
        </w:rPr>
        <w:t>本公司</w:t>
      </w:r>
      <w:r>
        <w:rPr>
          <w:rFonts w:ascii="Arial" w:hAnsi="Arial" w:cs="Arial" w:hint="eastAsia"/>
          <w:szCs w:val="21"/>
        </w:rPr>
        <w:t>”</w:t>
      </w:r>
      <w:r>
        <w:rPr>
          <w:rFonts w:ascii="Arial" w:cs="Arial"/>
          <w:szCs w:val="21"/>
        </w:rPr>
        <w:t>）与</w:t>
      </w:r>
      <w:bookmarkStart w:id="0" w:name="_Hlk143261415"/>
      <w:r w:rsidR="006D3014">
        <w:rPr>
          <w:rFonts w:ascii="Arial" w:cs="Arial" w:hint="eastAsia"/>
          <w:szCs w:val="21"/>
        </w:rPr>
        <w:t>西南</w:t>
      </w:r>
      <w:r w:rsidR="0075305D" w:rsidRPr="0075305D">
        <w:rPr>
          <w:rFonts w:ascii="Arial" w:cs="Arial" w:hint="eastAsia"/>
          <w:szCs w:val="21"/>
        </w:rPr>
        <w:t>证券</w:t>
      </w:r>
      <w:r w:rsidR="00991D78">
        <w:rPr>
          <w:rFonts w:ascii="Arial" w:cs="Arial" w:hint="eastAsia"/>
          <w:szCs w:val="21"/>
        </w:rPr>
        <w:t>股份</w:t>
      </w:r>
      <w:r w:rsidR="0075305D" w:rsidRPr="0075305D">
        <w:rPr>
          <w:rFonts w:ascii="Arial" w:cs="Arial" w:hint="eastAsia"/>
          <w:szCs w:val="21"/>
        </w:rPr>
        <w:t>有限公司</w:t>
      </w:r>
      <w:bookmarkEnd w:id="0"/>
      <w:r>
        <w:rPr>
          <w:rFonts w:ascii="Arial" w:cs="Arial"/>
          <w:szCs w:val="21"/>
        </w:rPr>
        <w:t>（以下简称</w:t>
      </w:r>
      <w:r>
        <w:rPr>
          <w:rFonts w:ascii="Arial" w:hAnsi="Arial" w:cs="Arial" w:hint="eastAsia"/>
          <w:szCs w:val="21"/>
        </w:rPr>
        <w:t>“</w:t>
      </w:r>
      <w:r w:rsidR="006D3014">
        <w:rPr>
          <w:rFonts w:ascii="Arial" w:cs="Arial" w:hint="eastAsia"/>
          <w:szCs w:val="21"/>
        </w:rPr>
        <w:t>西南</w:t>
      </w:r>
      <w:r w:rsidR="0075305D">
        <w:rPr>
          <w:rFonts w:ascii="Arial" w:cs="Arial" w:hint="eastAsia"/>
          <w:szCs w:val="21"/>
        </w:rPr>
        <w:t>证券</w:t>
      </w:r>
      <w:r>
        <w:rPr>
          <w:rFonts w:ascii="Arial" w:hAnsi="Arial" w:cs="Arial" w:hint="eastAsia"/>
          <w:szCs w:val="21"/>
        </w:rPr>
        <w:t>”</w:t>
      </w:r>
      <w:r>
        <w:rPr>
          <w:rFonts w:ascii="Arial" w:cs="Arial"/>
          <w:szCs w:val="21"/>
        </w:rPr>
        <w:t>）签署的国联安基金管理有限公司开放式证券投资基金销售服务代理协议，自</w:t>
      </w:r>
      <w:r>
        <w:rPr>
          <w:rFonts w:ascii="Arial" w:hAnsi="Arial" w:cs="Arial"/>
          <w:szCs w:val="21"/>
        </w:rPr>
        <w:t>20</w:t>
      </w:r>
      <w:r>
        <w:rPr>
          <w:rFonts w:ascii="Arial" w:hAnsi="Arial" w:cs="Arial" w:hint="eastAsia"/>
          <w:szCs w:val="21"/>
        </w:rPr>
        <w:t>2</w:t>
      </w:r>
      <w:r w:rsidR="007D14E4">
        <w:rPr>
          <w:rFonts w:ascii="Arial" w:hAnsi="Arial" w:cs="Arial" w:hint="eastAsia"/>
          <w:szCs w:val="21"/>
        </w:rPr>
        <w:t>4</w:t>
      </w:r>
      <w:r>
        <w:rPr>
          <w:rFonts w:ascii="Arial" w:cs="Arial"/>
          <w:szCs w:val="21"/>
        </w:rPr>
        <w:t>年</w:t>
      </w:r>
      <w:r w:rsidR="00427F3E">
        <w:rPr>
          <w:rFonts w:ascii="Arial" w:cs="Arial" w:hint="eastAsia"/>
          <w:szCs w:val="21"/>
        </w:rPr>
        <w:t>4</w:t>
      </w:r>
      <w:r>
        <w:rPr>
          <w:rFonts w:ascii="Arial" w:cs="Arial"/>
          <w:szCs w:val="21"/>
        </w:rPr>
        <w:t>月</w:t>
      </w:r>
      <w:r w:rsidR="00427F3E">
        <w:rPr>
          <w:rFonts w:ascii="Arial" w:cs="Arial" w:hint="eastAsia"/>
          <w:szCs w:val="21"/>
        </w:rPr>
        <w:t>1</w:t>
      </w:r>
      <w:r w:rsidR="005323D0">
        <w:rPr>
          <w:rFonts w:ascii="Arial" w:cs="Arial" w:hint="eastAsia"/>
          <w:szCs w:val="21"/>
        </w:rPr>
        <w:t>6</w:t>
      </w:r>
      <w:r>
        <w:rPr>
          <w:rFonts w:ascii="Arial" w:cs="Arial"/>
          <w:szCs w:val="21"/>
        </w:rPr>
        <w:t>日起，</w:t>
      </w:r>
      <w:r>
        <w:rPr>
          <w:rFonts w:ascii="Arial" w:cs="Arial" w:hint="eastAsia"/>
          <w:szCs w:val="21"/>
        </w:rPr>
        <w:t>增加</w:t>
      </w:r>
      <w:r w:rsidR="006D3014">
        <w:rPr>
          <w:rFonts w:ascii="Arial" w:cs="Arial" w:hint="eastAsia"/>
          <w:szCs w:val="21"/>
        </w:rPr>
        <w:t>西南</w:t>
      </w:r>
      <w:r w:rsidR="0075305D">
        <w:rPr>
          <w:rFonts w:ascii="Arial" w:cs="Arial" w:hint="eastAsia"/>
          <w:szCs w:val="21"/>
        </w:rPr>
        <w:t>证券</w:t>
      </w:r>
      <w:r>
        <w:rPr>
          <w:rFonts w:ascii="Arial" w:hAnsi="Arial" w:cs="Arial" w:hint="eastAsia"/>
          <w:szCs w:val="21"/>
        </w:rPr>
        <w:t>为本公司旗下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hint="eastAsia"/>
          <w:szCs w:val="21"/>
        </w:rPr>
        <w:t>的销售机构</w:t>
      </w:r>
      <w:r>
        <w:rPr>
          <w:rFonts w:ascii="Arial" w:cs="Arial"/>
          <w:szCs w:val="21"/>
        </w:rPr>
        <w:t>。</w:t>
      </w:r>
      <w:r>
        <w:rPr>
          <w:rFonts w:ascii="Arial" w:cs="Arial" w:hint="eastAsia"/>
          <w:szCs w:val="21"/>
        </w:rPr>
        <w:t>现就有关事项公告如下：</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szCs w:val="21"/>
        </w:rPr>
      </w:pPr>
      <w:r>
        <w:rPr>
          <w:rFonts w:ascii="Arial" w:cs="Arial"/>
          <w:szCs w:val="21"/>
        </w:rPr>
        <w:t>一、业务范围</w:t>
      </w:r>
    </w:p>
    <w:p w:rsidR="00932E30" w:rsidRDefault="00932E30">
      <w:pPr>
        <w:spacing w:line="360" w:lineRule="auto"/>
        <w:ind w:firstLineChars="200" w:firstLine="420"/>
        <w:rPr>
          <w:rFonts w:ascii="Arial" w:cs="Arial"/>
          <w:szCs w:val="21"/>
        </w:rPr>
      </w:pPr>
      <w:r w:rsidRPr="00584EC5">
        <w:rPr>
          <w:rFonts w:ascii="Arial" w:cs="Arial"/>
          <w:szCs w:val="21"/>
        </w:rPr>
        <w:t>投资者可在</w:t>
      </w:r>
      <w:r w:rsidR="006D3014">
        <w:rPr>
          <w:rFonts w:ascii="Arial" w:cs="Arial" w:hint="eastAsia"/>
          <w:szCs w:val="21"/>
        </w:rPr>
        <w:t>西南</w:t>
      </w:r>
      <w:r w:rsidR="0075305D">
        <w:rPr>
          <w:rFonts w:ascii="Arial" w:cs="Arial" w:hint="eastAsia"/>
          <w:szCs w:val="21"/>
        </w:rPr>
        <w:t>证券</w:t>
      </w:r>
      <w:r w:rsidRPr="00584EC5">
        <w:rPr>
          <w:rFonts w:ascii="Arial" w:cs="Arial"/>
          <w:szCs w:val="21"/>
        </w:rPr>
        <w:t>的营业网点办理下述基金的申购、赎回、</w:t>
      </w:r>
      <w:r w:rsidRPr="00584EC5">
        <w:rPr>
          <w:rFonts w:ascii="Arial" w:cs="Arial" w:hint="eastAsia"/>
          <w:szCs w:val="21"/>
        </w:rPr>
        <w:t>定期定额投资</w:t>
      </w:r>
      <w:r w:rsidR="00584EC5" w:rsidRPr="00584EC5">
        <w:rPr>
          <w:rFonts w:ascii="Arial" w:cs="Arial" w:hint="eastAsia"/>
          <w:szCs w:val="21"/>
        </w:rPr>
        <w:t>、转换</w:t>
      </w:r>
      <w:r w:rsidRPr="00584EC5">
        <w:rPr>
          <w:rFonts w:ascii="Arial" w:cs="Arial"/>
          <w:szCs w:val="21"/>
        </w:rPr>
        <w:t>等相关业务：</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国联安安泰灵活配置混合型证券投资基金（基金简称：国联安安泰灵活配置混合；基金代码：</w:t>
      </w:r>
      <w:r w:rsidRPr="00966536">
        <w:rPr>
          <w:rFonts w:ascii="Arial" w:cs="Arial" w:hint="eastAsia"/>
          <w:szCs w:val="21"/>
        </w:rPr>
        <w:t>000058</w:t>
      </w:r>
      <w:r w:rsidRPr="00966536">
        <w:rPr>
          <w:rFonts w:ascii="Arial" w:cs="Arial" w:hint="eastAsia"/>
          <w:szCs w:val="21"/>
        </w:rPr>
        <w:t>）</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国联安中证医药</w:t>
      </w:r>
      <w:r w:rsidRPr="00966536">
        <w:rPr>
          <w:rFonts w:ascii="Arial" w:cs="Arial" w:hint="eastAsia"/>
          <w:szCs w:val="21"/>
        </w:rPr>
        <w:t>100</w:t>
      </w:r>
      <w:r w:rsidRPr="00966536">
        <w:rPr>
          <w:rFonts w:ascii="Arial" w:cs="Arial" w:hint="eastAsia"/>
          <w:szCs w:val="21"/>
        </w:rPr>
        <w:t>指数证券投资基金（基金简称：国联安医药</w:t>
      </w:r>
      <w:r w:rsidRPr="00966536">
        <w:rPr>
          <w:rFonts w:ascii="Arial" w:cs="Arial" w:hint="eastAsia"/>
          <w:szCs w:val="21"/>
        </w:rPr>
        <w:t>100</w:t>
      </w:r>
      <w:r w:rsidRPr="00966536">
        <w:rPr>
          <w:rFonts w:ascii="Arial" w:cs="Arial" w:hint="eastAsia"/>
          <w:szCs w:val="21"/>
        </w:rPr>
        <w:t>指数；基金代码：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000059</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006569</w:t>
      </w:r>
      <w:r w:rsidRPr="00966536">
        <w:rPr>
          <w:rFonts w:ascii="Arial" w:cs="Arial" w:hint="eastAsia"/>
          <w:szCs w:val="21"/>
        </w:rPr>
        <w:t>）</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国联安中证全指半导体产品与设备交易型开放式指数证券投资基金联接基金（基金简称：国联安中证全指半导体产品与设备</w:t>
      </w:r>
      <w:r w:rsidRPr="00966536">
        <w:rPr>
          <w:rFonts w:ascii="Arial" w:cs="Arial" w:hint="eastAsia"/>
          <w:szCs w:val="21"/>
        </w:rPr>
        <w:t>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007300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007301</w:t>
      </w:r>
      <w:r w:rsidRPr="00966536">
        <w:rPr>
          <w:rFonts w:ascii="Arial" w:cs="Arial" w:hint="eastAsia"/>
          <w:szCs w:val="21"/>
        </w:rPr>
        <w:t>）</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国联安上证科创板</w:t>
      </w:r>
      <w:r w:rsidRPr="00966536">
        <w:rPr>
          <w:rFonts w:ascii="Arial" w:cs="Arial" w:hint="eastAsia"/>
          <w:szCs w:val="21"/>
        </w:rPr>
        <w:t>50</w:t>
      </w:r>
      <w:r w:rsidRPr="00966536">
        <w:rPr>
          <w:rFonts w:ascii="Arial" w:cs="Arial" w:hint="eastAsia"/>
          <w:szCs w:val="21"/>
        </w:rPr>
        <w:t>成份交易型开放式指数证券投资基金联接基金（基金简称：国联安上证科创</w:t>
      </w:r>
      <w:r w:rsidRPr="00966536">
        <w:rPr>
          <w:rFonts w:ascii="Arial" w:cs="Arial" w:hint="eastAsia"/>
          <w:szCs w:val="21"/>
        </w:rPr>
        <w:t>50ETF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013893</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013894</w:t>
      </w:r>
      <w:r w:rsidRPr="00966536">
        <w:rPr>
          <w:rFonts w:ascii="Arial" w:cs="Arial" w:hint="eastAsia"/>
          <w:szCs w:val="21"/>
        </w:rPr>
        <w:t>）</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国联安沪深</w:t>
      </w:r>
      <w:r w:rsidRPr="00966536">
        <w:rPr>
          <w:rFonts w:ascii="Arial" w:cs="Arial" w:hint="eastAsia"/>
          <w:szCs w:val="21"/>
        </w:rPr>
        <w:t>300</w:t>
      </w:r>
      <w:r w:rsidRPr="00966536">
        <w:rPr>
          <w:rFonts w:ascii="Arial" w:cs="Arial" w:hint="eastAsia"/>
          <w:szCs w:val="21"/>
        </w:rPr>
        <w:t>交易型开放式指数证券投资基金联接基金（基金简称：国联安沪深</w:t>
      </w:r>
      <w:r w:rsidRPr="00966536">
        <w:rPr>
          <w:rFonts w:ascii="Arial" w:cs="Arial" w:hint="eastAsia"/>
          <w:szCs w:val="21"/>
        </w:rPr>
        <w:t>300ETF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008390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008391</w:t>
      </w:r>
      <w:r w:rsidRPr="00966536">
        <w:rPr>
          <w:rFonts w:ascii="Arial" w:cs="Arial" w:hint="eastAsia"/>
          <w:szCs w:val="21"/>
        </w:rPr>
        <w:t>）</w:t>
      </w:r>
    </w:p>
    <w:p w:rsidR="005323D0" w:rsidRDefault="005323D0" w:rsidP="005323D0">
      <w:pPr>
        <w:spacing w:line="360" w:lineRule="auto"/>
        <w:ind w:firstLineChars="200" w:firstLine="420"/>
        <w:rPr>
          <w:rFonts w:ascii="Arial" w:cs="Arial"/>
          <w:szCs w:val="21"/>
        </w:rPr>
      </w:pPr>
      <w:r w:rsidRPr="00966536">
        <w:rPr>
          <w:rFonts w:ascii="Arial" w:cs="Arial" w:hint="eastAsia"/>
          <w:szCs w:val="21"/>
        </w:rPr>
        <w:t>国联安鑫安灵活配置混合型证券投资基金（基金简称：国联安鑫安灵活配置混合；基金代码：</w:t>
      </w:r>
      <w:r w:rsidRPr="00966536">
        <w:rPr>
          <w:rFonts w:ascii="Arial" w:cs="Arial" w:hint="eastAsia"/>
          <w:szCs w:val="21"/>
        </w:rPr>
        <w:t>001007</w:t>
      </w:r>
      <w:r w:rsidRPr="00966536">
        <w:rPr>
          <w:rFonts w:ascii="Arial" w:cs="Arial" w:hint="eastAsia"/>
          <w:szCs w:val="21"/>
        </w:rPr>
        <w:t>）</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国联安锐意成长混合型证券投资基金（基金简称：国联安锐意成长混合；基金代码：</w:t>
      </w:r>
      <w:r w:rsidRPr="00966536">
        <w:rPr>
          <w:rFonts w:ascii="Arial" w:cs="Arial" w:hint="eastAsia"/>
          <w:szCs w:val="21"/>
        </w:rPr>
        <w:t>004076</w:t>
      </w:r>
      <w:r w:rsidRPr="00966536">
        <w:rPr>
          <w:rFonts w:ascii="Arial" w:cs="Arial" w:hint="eastAsia"/>
          <w:szCs w:val="21"/>
        </w:rPr>
        <w:t>）</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国联安行业领先混合型证券投资基金（基金简称：国联安行业领先混合；基金代码：</w:t>
      </w:r>
      <w:r w:rsidRPr="00966536">
        <w:rPr>
          <w:rFonts w:ascii="Arial" w:cs="Arial" w:hint="eastAsia"/>
          <w:szCs w:val="21"/>
        </w:rPr>
        <w:t>006568</w:t>
      </w:r>
      <w:r w:rsidRPr="00966536">
        <w:rPr>
          <w:rFonts w:ascii="Arial" w:cs="Arial" w:hint="eastAsia"/>
          <w:szCs w:val="21"/>
        </w:rPr>
        <w:t>）</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国联安新科技混合型证券投资基金（基金简称：国联安新科技混合；基金代码：</w:t>
      </w:r>
      <w:r w:rsidRPr="00966536">
        <w:rPr>
          <w:rFonts w:ascii="Arial" w:cs="Arial" w:hint="eastAsia"/>
          <w:szCs w:val="21"/>
        </w:rPr>
        <w:t>007305</w:t>
      </w:r>
      <w:r w:rsidRPr="00966536">
        <w:rPr>
          <w:rFonts w:ascii="Arial" w:cs="Arial" w:hint="eastAsia"/>
          <w:szCs w:val="21"/>
        </w:rPr>
        <w:t>）</w:t>
      </w:r>
    </w:p>
    <w:p w:rsidR="005323D0" w:rsidRPr="00966536" w:rsidRDefault="005323D0" w:rsidP="005323D0">
      <w:pPr>
        <w:spacing w:line="360" w:lineRule="auto"/>
        <w:ind w:firstLineChars="200" w:firstLine="420"/>
        <w:rPr>
          <w:rFonts w:ascii="Arial" w:cs="Arial" w:hint="eastAsia"/>
          <w:szCs w:val="21"/>
        </w:rPr>
      </w:pPr>
      <w:r w:rsidRPr="00966536">
        <w:rPr>
          <w:rFonts w:ascii="Arial" w:cs="Arial" w:hint="eastAsia"/>
          <w:szCs w:val="21"/>
        </w:rPr>
        <w:t>国联安鑫乾混合型证券投资基金（基金简称：国联安鑫乾混合；基金代码：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004081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004082</w:t>
      </w:r>
      <w:r w:rsidRPr="00966536">
        <w:rPr>
          <w:rFonts w:ascii="Arial" w:cs="Arial" w:hint="eastAsia"/>
          <w:szCs w:val="21"/>
        </w:rPr>
        <w:t>）</w:t>
      </w:r>
    </w:p>
    <w:p w:rsidR="007D14E4" w:rsidRPr="007E1EB9" w:rsidRDefault="007D14E4" w:rsidP="005323D0">
      <w:pPr>
        <w:spacing w:line="360" w:lineRule="auto"/>
        <w:rPr>
          <w:rFonts w:asci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lastRenderedPageBreak/>
        <w:t>二、定期定额投资业务规则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投资者可到</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营业网点或通过</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认可的受理方式办理定投业务申请。具体受理网点或受理方式见</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各分支机构的公告。</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、办理时间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进行日常申购业务的受理时间相同。</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）凡申请办理定投业务的投资者须首先开立本公司开放式基金账户（已开户者除外），具体开户程序请遵循</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）已开立国联安基金管理有限公司开放式基金账户的投资者请携带本人有效身份证件及相关业务凭证，到</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各营业网点或</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认可的受理方式申请增开交易账号（已在</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开户者除外），并申请办理定投业务，具体办理程序请遵循</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投资者须遵循</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的基金定投业务规则，指定本人的人民币结算账户作为扣款账户，根据</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规定的日期进行定期扣款。</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投资者应与</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就相关基金申请开办定投业务约定每月固定扣款金额，具体最低申购金额遵循</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的规定，但每月最少不得低于人民币</w:t>
      </w:r>
      <w:r>
        <w:rPr>
          <w:rFonts w:ascii="Arial" w:hAnsi="Arial" w:cs="Arial" w:hint="eastAsia"/>
          <w:szCs w:val="21"/>
        </w:rPr>
        <w:t>100</w:t>
      </w:r>
      <w:r>
        <w:rPr>
          <w:rFonts w:ascii="Arial" w:hAnsi="Arial" w:cs="Arial" w:hint="eastAsia"/>
          <w:szCs w:val="21"/>
        </w:rPr>
        <w:t>元（含</w:t>
      </w:r>
      <w:r>
        <w:rPr>
          <w:rFonts w:ascii="Arial" w:hAnsi="Arial" w:cs="Arial" w:hint="eastAsia"/>
          <w:szCs w:val="21"/>
        </w:rPr>
        <w:t>100</w:t>
      </w:r>
      <w:r>
        <w:rPr>
          <w:rFonts w:ascii="Arial" w:hAnsi="Arial" w:cs="Arial" w:hint="eastAsia"/>
          <w:szCs w:val="21"/>
        </w:rPr>
        <w:t>元）。</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7</w:t>
      </w:r>
      <w:r>
        <w:rPr>
          <w:rFonts w:ascii="Arial" w:hAnsi="Arial" w:cs="Arial" w:hint="eastAsia"/>
          <w:szCs w:val="21"/>
        </w:rPr>
        <w:t>、定投业务申购费率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lastRenderedPageBreak/>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工作日确认成功后直接计入投资者的基金账户内。基金份额确认查询起始日为</w:t>
      </w:r>
      <w:r>
        <w:rPr>
          <w:rFonts w:ascii="Arial" w:hAnsi="Arial" w:cs="Arial" w:hint="eastAsia"/>
          <w:szCs w:val="21"/>
        </w:rPr>
        <w:t xml:space="preserve"> T+2</w:t>
      </w:r>
      <w:r>
        <w:rPr>
          <w:rFonts w:ascii="Arial" w:hAnsi="Arial" w:cs="Arial" w:hint="eastAsia"/>
          <w:szCs w:val="21"/>
        </w:rPr>
        <w:t>工作日。</w:t>
      </w:r>
      <w:r>
        <w:rPr>
          <w:rFonts w:ascii="Arial" w:hAnsi="Arial" w:cs="Arial" w:hint="eastAsia"/>
          <w:szCs w:val="21"/>
        </w:rPr>
        <w:t xml:space="preserve"> </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认可的受理方式申请办理业务变更，具体办理程序遵循</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申请办理业务终止，具体办理程序遵循</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的有关规定。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的具体规定。</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sidRPr="00584EC5">
        <w:rPr>
          <w:rFonts w:ascii="Arial" w:hAnsi="Arial" w:cs="Arial" w:hint="eastAsia"/>
          <w:szCs w:val="21"/>
        </w:rPr>
        <w:t>三、转换业务规则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932E30" w:rsidRDefault="00932E30" w:rsidP="00946BDA">
      <w:pPr>
        <w:tabs>
          <w:tab w:val="left" w:pos="426"/>
        </w:tabs>
        <w:spacing w:line="360" w:lineRule="auto"/>
        <w:ind w:firstLineChars="200" w:firstLine="420"/>
        <w:rPr>
          <w:rFonts w:ascii="Arial" w:hAnsi="Arial" w:cs="Arial" w:hint="eastAsia"/>
          <w:szCs w:val="21"/>
        </w:rPr>
      </w:pPr>
      <w:r>
        <w:rPr>
          <w:rFonts w:ascii="Arial" w:hAnsi="Arial" w:cs="Arial" w:hint="eastAsia"/>
          <w:szCs w:val="21"/>
        </w:rPr>
        <w:t>进行基金转换的总费用包括转换手续费、转出基金的赎回费和转入基金与转出基金的申购补差费三部分。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转入基金与转出基金的申购补差费率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转出金额＝转出基金份额×转出基金当日基金份额净值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转换费用＝转换手续费＋转出基金的赎回费＋申购补差费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赎回费＝转出金额×转出基金赎回费率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）基金转换以份额为单位进行申请。投资者办理基金转换业务时，转出的基金必须处于可赎回状态，转入的基金必须处于可申购状态。</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Pr>
          <w:rFonts w:ascii="Arial" w:hAnsi="Arial" w:cs="Arial" w:hint="eastAsia"/>
          <w:szCs w:val="21"/>
        </w:rPr>
        <w:t>100</w:t>
      </w:r>
      <w:r>
        <w:rPr>
          <w:rFonts w:ascii="Arial" w:hAnsi="Arial" w:cs="Arial" w:hint="eastAsia"/>
          <w:szCs w:val="21"/>
        </w:rPr>
        <w:t>份基金份额；如因某笔基金转出业务导致该基金单个交易账户的基金份额余额少于</w:t>
      </w:r>
      <w:r>
        <w:rPr>
          <w:rFonts w:ascii="Arial" w:hAnsi="Arial" w:cs="Arial" w:hint="eastAsia"/>
          <w:szCs w:val="21"/>
        </w:rPr>
        <w:t>100</w:t>
      </w:r>
      <w:r>
        <w:rPr>
          <w:rFonts w:ascii="Arial" w:hAnsi="Arial" w:cs="Arial" w:hint="eastAsia"/>
          <w:szCs w:val="21"/>
        </w:rPr>
        <w:t>份时，基金管理人将该交易账户保留的基金份额余额一次性全额转出。单笔转入申请不受转入基金最低申购限额限制。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具体可办理转换业务的本公司旗下基金，为</w:t>
      </w:r>
      <w:r w:rsidR="006D3014">
        <w:rPr>
          <w:rFonts w:ascii="Arial" w:hAnsi="Arial" w:cs="Arial" w:hint="eastAsia"/>
          <w:szCs w:val="21"/>
        </w:rPr>
        <w:t>西南</w:t>
      </w:r>
      <w:r w:rsidR="0075305D">
        <w:rPr>
          <w:rFonts w:ascii="Arial" w:hAnsi="Arial" w:cs="Arial" w:hint="eastAsia"/>
          <w:szCs w:val="21"/>
        </w:rPr>
        <w:t>证券</w:t>
      </w:r>
      <w:r>
        <w:rPr>
          <w:rFonts w:ascii="Arial" w:hAnsi="Arial" w:cs="Arial" w:hint="eastAsia"/>
          <w:szCs w:val="21"/>
        </w:rPr>
        <w:t>已销售并开通转换业务的基金。</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基金管理人可以在基金合同约定的范围内根据实际情况调整转换业务规则并公告。</w:t>
      </w:r>
    </w:p>
    <w:p w:rsidR="007D7899" w:rsidRDefault="007D7899" w:rsidP="0077612A">
      <w:pPr>
        <w:spacing w:line="360" w:lineRule="auto"/>
        <w:rPr>
          <w:rFonts w:ascii="Arial" w:hAnsi="Arial" w:cs="Arial"/>
          <w:szCs w:val="21"/>
        </w:rPr>
      </w:pPr>
    </w:p>
    <w:p w:rsidR="00932E30" w:rsidRDefault="00C61452" w:rsidP="0077348E">
      <w:pPr>
        <w:spacing w:line="360" w:lineRule="auto"/>
        <w:ind w:firstLineChars="200" w:firstLine="420"/>
        <w:rPr>
          <w:rFonts w:ascii="Arial" w:hAnsi="Arial" w:cs="Arial"/>
          <w:szCs w:val="21"/>
        </w:rPr>
      </w:pPr>
      <w:r>
        <w:rPr>
          <w:rFonts w:ascii="Arial" w:hAnsi="Arial" w:cs="Arial" w:hint="eastAsia"/>
          <w:szCs w:val="21"/>
        </w:rPr>
        <w:t>四</w:t>
      </w:r>
      <w:r w:rsidR="00932E30">
        <w:rPr>
          <w:rFonts w:ascii="Arial" w:hAnsi="Arial" w:cs="Arial"/>
          <w:szCs w:val="21"/>
        </w:rPr>
        <w:t>、投资者可以通过以下途径了解或咨询相关详情</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932E30" w:rsidRDefault="00932E30">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932E30" w:rsidRDefault="00932E30">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932E30" w:rsidRDefault="00932E30">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sidR="006D3014">
        <w:rPr>
          <w:rFonts w:ascii="Arial" w:hAnsi="Arial" w:cs="Arial" w:hint="eastAsia"/>
          <w:szCs w:val="21"/>
        </w:rPr>
        <w:t>西南</w:t>
      </w:r>
      <w:r w:rsidR="00655EF6" w:rsidRPr="00655EF6">
        <w:rPr>
          <w:rFonts w:ascii="Arial" w:hAnsi="Arial" w:cs="Arial" w:hint="eastAsia"/>
          <w:szCs w:val="21"/>
        </w:rPr>
        <w:t>证券</w:t>
      </w:r>
      <w:r w:rsidR="00991D78">
        <w:rPr>
          <w:rFonts w:ascii="Arial" w:hAnsi="Arial" w:cs="Arial" w:hint="eastAsia"/>
          <w:szCs w:val="21"/>
        </w:rPr>
        <w:t>股份</w:t>
      </w:r>
      <w:r w:rsidR="00655EF6" w:rsidRPr="00655EF6">
        <w:rPr>
          <w:rFonts w:ascii="Arial" w:hAnsi="Arial" w:cs="Arial" w:hint="eastAsia"/>
          <w:szCs w:val="21"/>
        </w:rPr>
        <w:t>有限公司</w:t>
      </w:r>
      <w:r>
        <w:rPr>
          <w:rFonts w:ascii="Arial" w:hAnsi="Arial" w:cs="Arial" w:hint="eastAsia"/>
          <w:szCs w:val="21"/>
        </w:rPr>
        <w:t>：</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客户服务热线：</w:t>
      </w:r>
      <w:r w:rsidR="00F94A06">
        <w:rPr>
          <w:rFonts w:ascii="Arial" w:hAnsi="Arial" w:cs="Arial" w:hint="eastAsia"/>
          <w:szCs w:val="21"/>
        </w:rPr>
        <w:t>95</w:t>
      </w:r>
      <w:r w:rsidR="00A644F6">
        <w:rPr>
          <w:rFonts w:ascii="Arial" w:hAnsi="Arial" w:cs="Arial" w:hint="eastAsia"/>
          <w:szCs w:val="21"/>
        </w:rPr>
        <w:t>355</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网站：</w:t>
      </w:r>
      <w:r w:rsidR="00A644F6" w:rsidRPr="008004A8">
        <w:rPr>
          <w:rFonts w:ascii="Arial" w:hAnsi="Arial" w:cs="Arial"/>
          <w:szCs w:val="21"/>
        </w:rPr>
        <w:t>www.swsc.com.cn</w:t>
      </w:r>
    </w:p>
    <w:p w:rsidR="00932E30" w:rsidRDefault="00932E30">
      <w:pPr>
        <w:spacing w:line="360" w:lineRule="auto"/>
        <w:rPr>
          <w:rFonts w:ascii="Arial" w:hAnsi="Arial" w:cs="Arial" w:hint="eastAsia"/>
          <w:szCs w:val="21"/>
        </w:rPr>
      </w:pPr>
    </w:p>
    <w:p w:rsidR="00932E30" w:rsidRDefault="00C61452">
      <w:pPr>
        <w:spacing w:line="360" w:lineRule="auto"/>
        <w:ind w:firstLineChars="200" w:firstLine="420"/>
        <w:rPr>
          <w:rFonts w:ascii="Arial" w:hAnsi="Arial" w:cs="Arial"/>
          <w:szCs w:val="21"/>
        </w:rPr>
      </w:pPr>
      <w:r>
        <w:rPr>
          <w:rFonts w:ascii="Arial" w:hAnsi="Arial" w:cs="Arial" w:hint="eastAsia"/>
          <w:szCs w:val="21"/>
        </w:rPr>
        <w:t>五</w:t>
      </w:r>
      <w:r w:rsidR="00932E30">
        <w:rPr>
          <w:rFonts w:ascii="Arial" w:hAnsi="Arial" w:cs="Arial"/>
          <w:szCs w:val="21"/>
        </w:rPr>
        <w:t>、重要提示</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、本公告仅就</w:t>
      </w:r>
      <w:r w:rsidR="006D3014">
        <w:rPr>
          <w:rFonts w:ascii="Arial" w:hAnsi="Arial" w:cs="Arial" w:hint="eastAsia"/>
          <w:szCs w:val="21"/>
        </w:rPr>
        <w:t>西南</w:t>
      </w:r>
      <w:r w:rsidR="0075305D">
        <w:rPr>
          <w:rFonts w:ascii="Arial" w:hAnsi="Arial" w:cs="Arial" w:hint="eastAsia"/>
          <w:szCs w:val="21"/>
        </w:rPr>
        <w:t>证券</w:t>
      </w:r>
      <w:r>
        <w:rPr>
          <w:rFonts w:ascii="Arial" w:hAnsi="Arial" w:cs="Arial"/>
          <w:szCs w:val="21"/>
        </w:rPr>
        <w:t>开通</w:t>
      </w:r>
      <w:r>
        <w:rPr>
          <w:rFonts w:ascii="Arial" w:hAnsi="Arial" w:cs="Arial" w:hint="eastAsia"/>
          <w:szCs w:val="21"/>
        </w:rPr>
        <w:t>本公司</w:t>
      </w:r>
      <w:r>
        <w:rPr>
          <w:rFonts w:ascii="Arial" w:hAnsi="Arial" w:cs="Arial"/>
          <w:szCs w:val="21"/>
        </w:rPr>
        <w:t>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szCs w:val="21"/>
        </w:rPr>
        <w:t>的申购、赎回、</w:t>
      </w:r>
      <w:r>
        <w:rPr>
          <w:rFonts w:ascii="Arial" w:hAnsi="Arial" w:cs="Arial" w:hint="eastAsia"/>
          <w:szCs w:val="21"/>
        </w:rPr>
        <w:t>定期定额投资</w:t>
      </w:r>
      <w:r>
        <w:rPr>
          <w:rFonts w:ascii="Arial" w:hAnsi="Arial" w:cs="Arial"/>
          <w:szCs w:val="21"/>
        </w:rPr>
        <w:t>等相关销售业务的事项予以公告。今后</w:t>
      </w:r>
      <w:r w:rsidR="006D3014">
        <w:rPr>
          <w:rFonts w:ascii="Arial" w:hAnsi="Arial" w:cs="Arial" w:hint="eastAsia"/>
          <w:szCs w:val="21"/>
        </w:rPr>
        <w:t>西南</w:t>
      </w:r>
      <w:r w:rsidR="0075305D">
        <w:rPr>
          <w:rFonts w:ascii="Arial" w:hAnsi="Arial" w:cs="Arial" w:hint="eastAsia"/>
          <w:szCs w:val="21"/>
        </w:rPr>
        <w:t>证券</w:t>
      </w:r>
      <w:r>
        <w:rPr>
          <w:rFonts w:ascii="Arial" w:hAnsi="Arial" w:cs="Arial"/>
          <w:szCs w:val="21"/>
        </w:rPr>
        <w:t>若代理本公司旗下其他基金的销售及相关业务，届时将另行公告。</w:t>
      </w:r>
    </w:p>
    <w:p w:rsidR="00932E30" w:rsidRDefault="00932E30">
      <w:pPr>
        <w:spacing w:line="360" w:lineRule="auto"/>
        <w:ind w:firstLineChars="200" w:firstLine="420"/>
        <w:rPr>
          <w:rFonts w:ascii="Arial" w:hAnsi="Arial" w:cs="Arial"/>
          <w:szCs w:val="21"/>
        </w:rPr>
      </w:pPr>
      <w:r>
        <w:rPr>
          <w:rFonts w:ascii="Arial" w:hAnsi="Arial" w:cs="Arial" w:hint="eastAsia"/>
          <w:szCs w:val="21"/>
        </w:rPr>
        <w:t>2</w:t>
      </w:r>
      <w:r>
        <w:rPr>
          <w:rFonts w:ascii="宋体" w:hAnsi="宋体" w:cs="宋体" w:hint="eastAsia"/>
          <w:kern w:val="0"/>
          <w:szCs w:val="21"/>
        </w:rPr>
        <w:t>、本公告涉及</w:t>
      </w:r>
      <w:r w:rsidR="007E1EB9">
        <w:rPr>
          <w:rFonts w:ascii="宋体" w:hAnsi="宋体" w:cs="宋体" w:hint="eastAsia"/>
          <w:kern w:val="0"/>
          <w:szCs w:val="21"/>
        </w:rPr>
        <w:t>上述</w:t>
      </w:r>
      <w:r w:rsidR="0075305D" w:rsidRPr="0075305D">
        <w:rPr>
          <w:rFonts w:ascii="宋体" w:hAnsi="宋体" w:cs="宋体" w:hint="eastAsia"/>
          <w:kern w:val="0"/>
          <w:szCs w:val="21"/>
        </w:rPr>
        <w:t>基金</w:t>
      </w:r>
      <w:r>
        <w:rPr>
          <w:rFonts w:ascii="宋体" w:hAnsi="宋体" w:cs="宋体" w:hint="eastAsia"/>
          <w:kern w:val="0"/>
          <w:szCs w:val="21"/>
        </w:rPr>
        <w:t>在</w:t>
      </w:r>
      <w:r w:rsidR="006D3014">
        <w:rPr>
          <w:rFonts w:ascii="Arial" w:hAnsi="Arial" w:cs="Arial" w:hint="eastAsia"/>
          <w:szCs w:val="21"/>
        </w:rPr>
        <w:t>西南</w:t>
      </w:r>
      <w:r w:rsidR="0075305D">
        <w:rPr>
          <w:rFonts w:ascii="Arial" w:hAnsi="Arial" w:cs="Arial" w:hint="eastAsia"/>
          <w:szCs w:val="21"/>
        </w:rPr>
        <w:t>证券</w:t>
      </w:r>
      <w:r>
        <w:rPr>
          <w:rFonts w:ascii="宋体" w:hAnsi="宋体" w:cs="宋体" w:hint="eastAsia"/>
          <w:kern w:val="0"/>
          <w:szCs w:val="21"/>
        </w:rPr>
        <w:t>办理基金销售业务的其他未明事项，敬请遵循</w:t>
      </w:r>
      <w:r w:rsidR="006D3014">
        <w:rPr>
          <w:rFonts w:ascii="Arial" w:cs="Arial" w:hint="eastAsia"/>
          <w:szCs w:val="21"/>
        </w:rPr>
        <w:t>西南</w:t>
      </w:r>
      <w:r w:rsidR="0075305D">
        <w:rPr>
          <w:rFonts w:ascii="Arial" w:cs="Arial" w:hint="eastAsia"/>
          <w:szCs w:val="21"/>
        </w:rPr>
        <w:t>证券</w:t>
      </w:r>
      <w:r>
        <w:rPr>
          <w:rFonts w:ascii="宋体" w:hAnsi="宋体" w:cs="宋体" w:hint="eastAsia"/>
          <w:kern w:val="0"/>
          <w:szCs w:val="21"/>
        </w:rPr>
        <w:t>的具体规定。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、投资者办理基金交易等相关业务前，应仔细阅读</w:t>
      </w:r>
      <w:r w:rsidR="007E1EB9">
        <w:rPr>
          <w:rFonts w:ascii="Arial" w:hAnsi="Arial" w:cs="Arial" w:hint="eastAsia"/>
          <w:szCs w:val="21"/>
        </w:rPr>
        <w:t>相关</w:t>
      </w:r>
      <w:r w:rsidR="0075305D" w:rsidRPr="0075305D">
        <w:rPr>
          <w:rFonts w:ascii="Arial" w:hAnsi="Arial" w:cs="Arial" w:hint="eastAsia"/>
          <w:szCs w:val="21"/>
        </w:rPr>
        <w:t>基金</w:t>
      </w:r>
      <w:r>
        <w:rPr>
          <w:rFonts w:ascii="Arial" w:hAnsi="Arial" w:cs="Arial"/>
          <w:szCs w:val="21"/>
        </w:rPr>
        <w:t>的基金合同、招募说明书及其更新</w:t>
      </w:r>
      <w:r w:rsidR="00EA686D">
        <w:rPr>
          <w:rFonts w:ascii="Arial" w:hAnsi="Arial" w:cs="Arial" w:hint="eastAsia"/>
          <w:szCs w:val="21"/>
        </w:rPr>
        <w:t>、产品资料概要及其更新</w:t>
      </w:r>
      <w:r>
        <w:rPr>
          <w:rFonts w:ascii="Arial" w:hAnsi="Arial" w:cs="Arial"/>
          <w:szCs w:val="21"/>
        </w:rPr>
        <w:t>、风险提示及相关业务规则和操作指南等文件。</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szCs w:val="21"/>
        </w:rPr>
        <w:t>、本公告的最终解释权归本公司所有。</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w:t>
      </w:r>
      <w:r w:rsidR="003B1809">
        <w:rPr>
          <w:rFonts w:ascii="Arial" w:hAnsi="Arial" w:cs="Arial" w:hint="eastAsia"/>
          <w:szCs w:val="21"/>
        </w:rPr>
        <w:t>特定</w:t>
      </w:r>
      <w:r>
        <w:rPr>
          <w:rFonts w:ascii="Arial" w:hAnsi="Arial" w:cs="Arial" w:hint="eastAsia"/>
          <w:szCs w:val="21"/>
        </w:rPr>
        <w:t>基金业绩表现的保证。</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w:t>
      </w:r>
      <w:r w:rsidR="00EA686D">
        <w:rPr>
          <w:rFonts w:ascii="Arial" w:hAnsi="Arial" w:cs="Arial" w:hint="eastAsia"/>
          <w:szCs w:val="21"/>
        </w:rPr>
        <w:t>、</w:t>
      </w:r>
      <w:r>
        <w:rPr>
          <w:rFonts w:ascii="Arial" w:hAnsi="Arial" w:cs="Arial" w:hint="eastAsia"/>
          <w:szCs w:val="21"/>
        </w:rPr>
        <w:t>《招募说明书》</w:t>
      </w:r>
      <w:r w:rsidR="00EA686D">
        <w:rPr>
          <w:rFonts w:ascii="Arial" w:hAnsi="Arial" w:cs="Arial" w:hint="eastAsia"/>
          <w:szCs w:val="21"/>
        </w:rPr>
        <w:t>和《产品资料概要》</w:t>
      </w:r>
      <w:r>
        <w:rPr>
          <w:rFonts w:ascii="Arial" w:hAnsi="Arial" w:cs="Arial" w:hint="eastAsia"/>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932E30" w:rsidRDefault="00932E30" w:rsidP="00823316">
      <w:pPr>
        <w:spacing w:line="360" w:lineRule="auto"/>
        <w:ind w:firstLineChars="200" w:firstLine="420"/>
        <w:rPr>
          <w:rFonts w:ascii="Arial" w:hAnsi="Arial" w:cs="Arial" w:hint="eastAsia"/>
          <w:szCs w:val="21"/>
        </w:rPr>
      </w:pPr>
      <w:r>
        <w:rPr>
          <w:rFonts w:ascii="Arial" w:hAnsi="Arial" w:cs="Arial"/>
          <w:szCs w:val="21"/>
        </w:rPr>
        <w:t>特此公告。</w:t>
      </w:r>
    </w:p>
    <w:p w:rsidR="00932E30" w:rsidRDefault="00932E30">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932E30" w:rsidRDefault="00932E30">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sidR="00503640">
        <w:rPr>
          <w:rFonts w:ascii="Arial" w:hAnsi="Arial" w:cs="Arial" w:hint="eastAsia"/>
          <w:szCs w:val="21"/>
        </w:rPr>
        <w:t>四</w:t>
      </w:r>
      <w:r>
        <w:rPr>
          <w:rFonts w:ascii="Arial" w:hAnsi="Arial" w:cs="Arial"/>
          <w:szCs w:val="21"/>
        </w:rPr>
        <w:t>年</w:t>
      </w:r>
      <w:r w:rsidR="00A644F6">
        <w:rPr>
          <w:rFonts w:ascii="Arial" w:hAnsi="Arial" w:cs="Arial" w:hint="eastAsia"/>
          <w:szCs w:val="21"/>
        </w:rPr>
        <w:t>四</w:t>
      </w:r>
      <w:r>
        <w:rPr>
          <w:rFonts w:ascii="Arial" w:hAnsi="Arial" w:cs="Arial"/>
          <w:szCs w:val="21"/>
        </w:rPr>
        <w:t>月</w:t>
      </w:r>
      <w:r w:rsidR="00503640">
        <w:rPr>
          <w:rFonts w:ascii="Arial" w:hAnsi="Arial" w:cs="Arial" w:hint="eastAsia"/>
          <w:szCs w:val="21"/>
        </w:rPr>
        <w:t>十</w:t>
      </w:r>
      <w:r w:rsidR="005323D0">
        <w:rPr>
          <w:rFonts w:ascii="Arial" w:hAnsi="Arial" w:cs="Arial" w:hint="eastAsia"/>
          <w:szCs w:val="21"/>
        </w:rPr>
        <w:t>六</w:t>
      </w:r>
      <w:r>
        <w:rPr>
          <w:rFonts w:ascii="Arial" w:hAnsi="Arial" w:cs="Arial"/>
          <w:szCs w:val="21"/>
        </w:rPr>
        <w:t>日</w:t>
      </w:r>
    </w:p>
    <w:sectPr w:rsidR="00932E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B3" w:rsidRDefault="003369B3" w:rsidP="00E02ECD">
      <w:r>
        <w:separator/>
      </w:r>
    </w:p>
  </w:endnote>
  <w:endnote w:type="continuationSeparator" w:id="0">
    <w:p w:rsidR="003369B3" w:rsidRDefault="003369B3" w:rsidP="00E0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B3" w:rsidRDefault="003369B3" w:rsidP="00E02ECD">
      <w:r>
        <w:separator/>
      </w:r>
    </w:p>
  </w:footnote>
  <w:footnote w:type="continuationSeparator" w:id="0">
    <w:p w:rsidR="003369B3" w:rsidRDefault="003369B3" w:rsidP="00E02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40FA"/>
    <w:rsid w:val="00015DB8"/>
    <w:rsid w:val="00022D2B"/>
    <w:rsid w:val="00024C8D"/>
    <w:rsid w:val="000279A8"/>
    <w:rsid w:val="00040927"/>
    <w:rsid w:val="00050D30"/>
    <w:rsid w:val="0005456C"/>
    <w:rsid w:val="0006028F"/>
    <w:rsid w:val="00060BC1"/>
    <w:rsid w:val="0006603D"/>
    <w:rsid w:val="00067A43"/>
    <w:rsid w:val="00072DC7"/>
    <w:rsid w:val="000804AE"/>
    <w:rsid w:val="000870F2"/>
    <w:rsid w:val="00096917"/>
    <w:rsid w:val="000A607E"/>
    <w:rsid w:val="000B5F24"/>
    <w:rsid w:val="000B7F00"/>
    <w:rsid w:val="000C5664"/>
    <w:rsid w:val="000D0FEB"/>
    <w:rsid w:val="000D1183"/>
    <w:rsid w:val="000D14FC"/>
    <w:rsid w:val="000E36FD"/>
    <w:rsid w:val="000F413C"/>
    <w:rsid w:val="00106BC9"/>
    <w:rsid w:val="00127410"/>
    <w:rsid w:val="0013792F"/>
    <w:rsid w:val="0015201E"/>
    <w:rsid w:val="00156672"/>
    <w:rsid w:val="00164AFA"/>
    <w:rsid w:val="0017064D"/>
    <w:rsid w:val="001720D8"/>
    <w:rsid w:val="001737A2"/>
    <w:rsid w:val="001768E1"/>
    <w:rsid w:val="001861C1"/>
    <w:rsid w:val="00191E08"/>
    <w:rsid w:val="001A096D"/>
    <w:rsid w:val="001A2221"/>
    <w:rsid w:val="001C0198"/>
    <w:rsid w:val="001C2621"/>
    <w:rsid w:val="001D343B"/>
    <w:rsid w:val="001D57CA"/>
    <w:rsid w:val="002015CE"/>
    <w:rsid w:val="002115B3"/>
    <w:rsid w:val="002304F4"/>
    <w:rsid w:val="00230673"/>
    <w:rsid w:val="002422C1"/>
    <w:rsid w:val="002465F6"/>
    <w:rsid w:val="002522AF"/>
    <w:rsid w:val="0026531B"/>
    <w:rsid w:val="002779AA"/>
    <w:rsid w:val="00291FA9"/>
    <w:rsid w:val="002A3549"/>
    <w:rsid w:val="002B1A64"/>
    <w:rsid w:val="002C4287"/>
    <w:rsid w:val="002C44E7"/>
    <w:rsid w:val="002D0AA2"/>
    <w:rsid w:val="002D61BD"/>
    <w:rsid w:val="002F2B54"/>
    <w:rsid w:val="002F31F8"/>
    <w:rsid w:val="00301B05"/>
    <w:rsid w:val="00302A0F"/>
    <w:rsid w:val="00307327"/>
    <w:rsid w:val="003150E8"/>
    <w:rsid w:val="0032413B"/>
    <w:rsid w:val="003305C2"/>
    <w:rsid w:val="00333118"/>
    <w:rsid w:val="003369B3"/>
    <w:rsid w:val="0035756E"/>
    <w:rsid w:val="003704AA"/>
    <w:rsid w:val="00371D8C"/>
    <w:rsid w:val="00372E16"/>
    <w:rsid w:val="00380E7E"/>
    <w:rsid w:val="00384127"/>
    <w:rsid w:val="00386602"/>
    <w:rsid w:val="00386691"/>
    <w:rsid w:val="0039283C"/>
    <w:rsid w:val="00395E11"/>
    <w:rsid w:val="003A6491"/>
    <w:rsid w:val="003B1809"/>
    <w:rsid w:val="003B2712"/>
    <w:rsid w:val="003B3DB7"/>
    <w:rsid w:val="003B5A50"/>
    <w:rsid w:val="003C286C"/>
    <w:rsid w:val="003E2BE4"/>
    <w:rsid w:val="003E3DEB"/>
    <w:rsid w:val="003E6081"/>
    <w:rsid w:val="003E73D3"/>
    <w:rsid w:val="00410CD5"/>
    <w:rsid w:val="00417EC1"/>
    <w:rsid w:val="00425E99"/>
    <w:rsid w:val="00427F3E"/>
    <w:rsid w:val="00432328"/>
    <w:rsid w:val="0043286C"/>
    <w:rsid w:val="004345D1"/>
    <w:rsid w:val="00450198"/>
    <w:rsid w:val="004606D0"/>
    <w:rsid w:val="00460A29"/>
    <w:rsid w:val="00465189"/>
    <w:rsid w:val="00467868"/>
    <w:rsid w:val="0048306C"/>
    <w:rsid w:val="00485A66"/>
    <w:rsid w:val="0048775A"/>
    <w:rsid w:val="00490FE3"/>
    <w:rsid w:val="004A55E2"/>
    <w:rsid w:val="004C4901"/>
    <w:rsid w:val="004C7FBA"/>
    <w:rsid w:val="004D4A5C"/>
    <w:rsid w:val="004D5758"/>
    <w:rsid w:val="00503640"/>
    <w:rsid w:val="00505434"/>
    <w:rsid w:val="00525DFB"/>
    <w:rsid w:val="00531C56"/>
    <w:rsid w:val="005323D0"/>
    <w:rsid w:val="00535F16"/>
    <w:rsid w:val="00540206"/>
    <w:rsid w:val="005410A3"/>
    <w:rsid w:val="00550DF0"/>
    <w:rsid w:val="005540FD"/>
    <w:rsid w:val="00554F68"/>
    <w:rsid w:val="00555DFD"/>
    <w:rsid w:val="005561A6"/>
    <w:rsid w:val="005571E4"/>
    <w:rsid w:val="00566C77"/>
    <w:rsid w:val="0057013C"/>
    <w:rsid w:val="00584EC5"/>
    <w:rsid w:val="00591A8C"/>
    <w:rsid w:val="00591B97"/>
    <w:rsid w:val="005A682E"/>
    <w:rsid w:val="005C586B"/>
    <w:rsid w:val="005E2669"/>
    <w:rsid w:val="005F3AE1"/>
    <w:rsid w:val="005F4716"/>
    <w:rsid w:val="005F790A"/>
    <w:rsid w:val="00605006"/>
    <w:rsid w:val="006100B1"/>
    <w:rsid w:val="006155FA"/>
    <w:rsid w:val="00616251"/>
    <w:rsid w:val="00617434"/>
    <w:rsid w:val="006240BE"/>
    <w:rsid w:val="0062774B"/>
    <w:rsid w:val="00640265"/>
    <w:rsid w:val="0064260F"/>
    <w:rsid w:val="00645976"/>
    <w:rsid w:val="006467A4"/>
    <w:rsid w:val="00655EF6"/>
    <w:rsid w:val="00656F1C"/>
    <w:rsid w:val="00670E10"/>
    <w:rsid w:val="006717D9"/>
    <w:rsid w:val="00672179"/>
    <w:rsid w:val="00676B6A"/>
    <w:rsid w:val="00691528"/>
    <w:rsid w:val="00692EBE"/>
    <w:rsid w:val="006A2583"/>
    <w:rsid w:val="006B420F"/>
    <w:rsid w:val="006B4D14"/>
    <w:rsid w:val="006B7779"/>
    <w:rsid w:val="006B7A43"/>
    <w:rsid w:val="006C09B1"/>
    <w:rsid w:val="006C30E9"/>
    <w:rsid w:val="006C53D6"/>
    <w:rsid w:val="006C5EAD"/>
    <w:rsid w:val="006D252C"/>
    <w:rsid w:val="006D3014"/>
    <w:rsid w:val="006D469E"/>
    <w:rsid w:val="006E0EA0"/>
    <w:rsid w:val="006E5BBF"/>
    <w:rsid w:val="006F4100"/>
    <w:rsid w:val="00700C56"/>
    <w:rsid w:val="00705B08"/>
    <w:rsid w:val="00706649"/>
    <w:rsid w:val="00717BC0"/>
    <w:rsid w:val="00741CC6"/>
    <w:rsid w:val="007524BE"/>
    <w:rsid w:val="0075305D"/>
    <w:rsid w:val="0077348E"/>
    <w:rsid w:val="00773E80"/>
    <w:rsid w:val="00775009"/>
    <w:rsid w:val="0077612A"/>
    <w:rsid w:val="00780E2D"/>
    <w:rsid w:val="007A6CD5"/>
    <w:rsid w:val="007B6063"/>
    <w:rsid w:val="007C3A19"/>
    <w:rsid w:val="007D14E4"/>
    <w:rsid w:val="007D593C"/>
    <w:rsid w:val="007D6400"/>
    <w:rsid w:val="007D7899"/>
    <w:rsid w:val="007E0D58"/>
    <w:rsid w:val="007E1EB9"/>
    <w:rsid w:val="007E679E"/>
    <w:rsid w:val="007F516E"/>
    <w:rsid w:val="007F59F2"/>
    <w:rsid w:val="008009D7"/>
    <w:rsid w:val="00801E63"/>
    <w:rsid w:val="008026CB"/>
    <w:rsid w:val="00816BA5"/>
    <w:rsid w:val="00823316"/>
    <w:rsid w:val="00836030"/>
    <w:rsid w:val="008400B5"/>
    <w:rsid w:val="00840C9B"/>
    <w:rsid w:val="00846AE1"/>
    <w:rsid w:val="008536FA"/>
    <w:rsid w:val="00854920"/>
    <w:rsid w:val="00874B8B"/>
    <w:rsid w:val="00875925"/>
    <w:rsid w:val="008873A8"/>
    <w:rsid w:val="00890851"/>
    <w:rsid w:val="008954CE"/>
    <w:rsid w:val="008B6E96"/>
    <w:rsid w:val="008C154F"/>
    <w:rsid w:val="008C636C"/>
    <w:rsid w:val="008E1106"/>
    <w:rsid w:val="008F2477"/>
    <w:rsid w:val="008F4E9C"/>
    <w:rsid w:val="009039AC"/>
    <w:rsid w:val="00905B25"/>
    <w:rsid w:val="00906524"/>
    <w:rsid w:val="00911456"/>
    <w:rsid w:val="009144FD"/>
    <w:rsid w:val="00914DD5"/>
    <w:rsid w:val="00932193"/>
    <w:rsid w:val="00932E30"/>
    <w:rsid w:val="00942B47"/>
    <w:rsid w:val="00946B53"/>
    <w:rsid w:val="00946BDA"/>
    <w:rsid w:val="00947D38"/>
    <w:rsid w:val="00950F17"/>
    <w:rsid w:val="009575E9"/>
    <w:rsid w:val="00960574"/>
    <w:rsid w:val="00961CFF"/>
    <w:rsid w:val="00961E86"/>
    <w:rsid w:val="00962A1C"/>
    <w:rsid w:val="00966536"/>
    <w:rsid w:val="00972CF5"/>
    <w:rsid w:val="0098482A"/>
    <w:rsid w:val="00991D78"/>
    <w:rsid w:val="009A0D87"/>
    <w:rsid w:val="009A2107"/>
    <w:rsid w:val="009A7D0B"/>
    <w:rsid w:val="009B0C0B"/>
    <w:rsid w:val="009C5991"/>
    <w:rsid w:val="009D1790"/>
    <w:rsid w:val="009E14D2"/>
    <w:rsid w:val="009E728D"/>
    <w:rsid w:val="009F2BEC"/>
    <w:rsid w:val="009F5606"/>
    <w:rsid w:val="00A04718"/>
    <w:rsid w:val="00A07A8B"/>
    <w:rsid w:val="00A12FB3"/>
    <w:rsid w:val="00A2008D"/>
    <w:rsid w:val="00A30B57"/>
    <w:rsid w:val="00A32DFE"/>
    <w:rsid w:val="00A32ED5"/>
    <w:rsid w:val="00A46EE8"/>
    <w:rsid w:val="00A50E9A"/>
    <w:rsid w:val="00A52BB6"/>
    <w:rsid w:val="00A63F59"/>
    <w:rsid w:val="00A63FE1"/>
    <w:rsid w:val="00A644F6"/>
    <w:rsid w:val="00A675CD"/>
    <w:rsid w:val="00A74C31"/>
    <w:rsid w:val="00A90280"/>
    <w:rsid w:val="00AB566B"/>
    <w:rsid w:val="00AC14E8"/>
    <w:rsid w:val="00AC15E0"/>
    <w:rsid w:val="00AC29E8"/>
    <w:rsid w:val="00AC3AFD"/>
    <w:rsid w:val="00AC7E76"/>
    <w:rsid w:val="00B1727F"/>
    <w:rsid w:val="00B333CA"/>
    <w:rsid w:val="00B47AD2"/>
    <w:rsid w:val="00B55D73"/>
    <w:rsid w:val="00B57C24"/>
    <w:rsid w:val="00B63CCA"/>
    <w:rsid w:val="00B6576A"/>
    <w:rsid w:val="00B7161C"/>
    <w:rsid w:val="00B76671"/>
    <w:rsid w:val="00B818F1"/>
    <w:rsid w:val="00B84983"/>
    <w:rsid w:val="00B86602"/>
    <w:rsid w:val="00B9310F"/>
    <w:rsid w:val="00BA3522"/>
    <w:rsid w:val="00BB17B4"/>
    <w:rsid w:val="00BB3059"/>
    <w:rsid w:val="00BD0CA4"/>
    <w:rsid w:val="00BD5661"/>
    <w:rsid w:val="00BD63B3"/>
    <w:rsid w:val="00BE5994"/>
    <w:rsid w:val="00BF15D0"/>
    <w:rsid w:val="00BF3275"/>
    <w:rsid w:val="00C0165F"/>
    <w:rsid w:val="00C040D4"/>
    <w:rsid w:val="00C0599F"/>
    <w:rsid w:val="00C10754"/>
    <w:rsid w:val="00C24D0A"/>
    <w:rsid w:val="00C272EF"/>
    <w:rsid w:val="00C302F8"/>
    <w:rsid w:val="00C46936"/>
    <w:rsid w:val="00C4702C"/>
    <w:rsid w:val="00C577DB"/>
    <w:rsid w:val="00C61160"/>
    <w:rsid w:val="00C61452"/>
    <w:rsid w:val="00C64285"/>
    <w:rsid w:val="00C81C3C"/>
    <w:rsid w:val="00C92575"/>
    <w:rsid w:val="00C9434D"/>
    <w:rsid w:val="00CB2DA6"/>
    <w:rsid w:val="00CD56B2"/>
    <w:rsid w:val="00CE2F4F"/>
    <w:rsid w:val="00CE479D"/>
    <w:rsid w:val="00D02B4C"/>
    <w:rsid w:val="00D13D2A"/>
    <w:rsid w:val="00D14403"/>
    <w:rsid w:val="00D16025"/>
    <w:rsid w:val="00D358FA"/>
    <w:rsid w:val="00D36201"/>
    <w:rsid w:val="00D41E86"/>
    <w:rsid w:val="00D50891"/>
    <w:rsid w:val="00D54863"/>
    <w:rsid w:val="00D55D81"/>
    <w:rsid w:val="00D61755"/>
    <w:rsid w:val="00D67907"/>
    <w:rsid w:val="00D71CDD"/>
    <w:rsid w:val="00D723F7"/>
    <w:rsid w:val="00D7681D"/>
    <w:rsid w:val="00DA18F7"/>
    <w:rsid w:val="00DB0B8A"/>
    <w:rsid w:val="00DB3892"/>
    <w:rsid w:val="00DB3EDB"/>
    <w:rsid w:val="00DB621B"/>
    <w:rsid w:val="00DC19A7"/>
    <w:rsid w:val="00DC4493"/>
    <w:rsid w:val="00DD3203"/>
    <w:rsid w:val="00DF694F"/>
    <w:rsid w:val="00E02ECD"/>
    <w:rsid w:val="00E168BE"/>
    <w:rsid w:val="00E1751E"/>
    <w:rsid w:val="00E37553"/>
    <w:rsid w:val="00E44B75"/>
    <w:rsid w:val="00E46B32"/>
    <w:rsid w:val="00E50174"/>
    <w:rsid w:val="00E50C76"/>
    <w:rsid w:val="00E63C58"/>
    <w:rsid w:val="00E65B4C"/>
    <w:rsid w:val="00E67ADF"/>
    <w:rsid w:val="00E87294"/>
    <w:rsid w:val="00E908C3"/>
    <w:rsid w:val="00E95B76"/>
    <w:rsid w:val="00E9739E"/>
    <w:rsid w:val="00EA2828"/>
    <w:rsid w:val="00EA3450"/>
    <w:rsid w:val="00EA686D"/>
    <w:rsid w:val="00EB1A5F"/>
    <w:rsid w:val="00EC40BB"/>
    <w:rsid w:val="00ED204B"/>
    <w:rsid w:val="00ED4E47"/>
    <w:rsid w:val="00EE35BA"/>
    <w:rsid w:val="00F058C1"/>
    <w:rsid w:val="00F14633"/>
    <w:rsid w:val="00F33AE5"/>
    <w:rsid w:val="00F44393"/>
    <w:rsid w:val="00F47E54"/>
    <w:rsid w:val="00F507B8"/>
    <w:rsid w:val="00F543CA"/>
    <w:rsid w:val="00F6431B"/>
    <w:rsid w:val="00F66B63"/>
    <w:rsid w:val="00F74B30"/>
    <w:rsid w:val="00F771AD"/>
    <w:rsid w:val="00F85163"/>
    <w:rsid w:val="00F85558"/>
    <w:rsid w:val="00F86429"/>
    <w:rsid w:val="00F9438E"/>
    <w:rsid w:val="00F94A06"/>
    <w:rsid w:val="00FA2317"/>
    <w:rsid w:val="00FB09C2"/>
    <w:rsid w:val="00FB24F1"/>
    <w:rsid w:val="00FB3FAB"/>
    <w:rsid w:val="00FC35DC"/>
    <w:rsid w:val="00FC4537"/>
    <w:rsid w:val="00FC54A2"/>
    <w:rsid w:val="00FD3BB7"/>
    <w:rsid w:val="00FE2650"/>
    <w:rsid w:val="00FF083F"/>
    <w:rsid w:val="00FF4247"/>
    <w:rsid w:val="00FF7CD6"/>
    <w:rsid w:val="5BCE0E46"/>
    <w:rsid w:val="72A25064"/>
    <w:rsid w:val="74E91E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脚 字符"/>
    <w:link w:val="a5"/>
    <w:rPr>
      <w:kern w:val="2"/>
      <w:sz w:val="18"/>
      <w:szCs w:val="18"/>
    </w:rPr>
  </w:style>
  <w:style w:type="character" w:customStyle="1" w:styleId="a6">
    <w:name w:val="页眉 字符"/>
    <w:link w:val="a7"/>
    <w:rPr>
      <w:kern w:val="2"/>
      <w:sz w:val="18"/>
      <w:szCs w:val="18"/>
    </w:rPr>
  </w:style>
  <w:style w:type="character" w:customStyle="1" w:styleId="a8">
    <w:name w:val="批注主题 字符"/>
    <w:link w:val="a9"/>
    <w:rPr>
      <w:b/>
      <w:bCs/>
      <w:kern w:val="2"/>
      <w:sz w:val="21"/>
      <w:szCs w:val="24"/>
    </w:rPr>
  </w:style>
  <w:style w:type="character" w:styleId="aa">
    <w:name w:val="annotation reference"/>
    <w:rPr>
      <w:sz w:val="21"/>
      <w:szCs w:val="21"/>
    </w:rPr>
  </w:style>
  <w:style w:type="character" w:customStyle="1" w:styleId="ab">
    <w:name w:val="批注文字 字符"/>
    <w:link w:val="ac"/>
    <w:rPr>
      <w:kern w:val="2"/>
      <w:sz w:val="21"/>
      <w:szCs w:val="24"/>
    </w:rPr>
  </w:style>
  <w:style w:type="paragraph" w:styleId="ac">
    <w:name w:val="annotation text"/>
    <w:basedOn w:val="a"/>
    <w:link w:val="ab"/>
    <w:pPr>
      <w:jc w:val="left"/>
    </w:pPr>
  </w:style>
  <w:style w:type="paragraph" w:styleId="a9">
    <w:name w:val="annotation subject"/>
    <w:basedOn w:val="ac"/>
    <w:next w:val="ac"/>
    <w:link w:val="a8"/>
    <w:rPr>
      <w:b/>
      <w:bCs/>
    </w:rPr>
  </w:style>
  <w:style w:type="paragraph" w:styleId="a5">
    <w:name w:val="footer"/>
    <w:basedOn w:val="a"/>
    <w:link w:val="a4"/>
    <w:pPr>
      <w:tabs>
        <w:tab w:val="center" w:pos="4153"/>
        <w:tab w:val="right" w:pos="8306"/>
      </w:tabs>
      <w:snapToGrid w:val="0"/>
      <w:jc w:val="left"/>
    </w:pPr>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Balloon Text"/>
    <w:basedOn w:val="a"/>
    <w:semiHidden/>
    <w:rPr>
      <w:sz w:val="18"/>
      <w:szCs w:val="18"/>
    </w:rPr>
  </w:style>
  <w:style w:type="paragraph" w:styleId="ae">
    <w:name w:val="Revision"/>
    <w:hidden/>
    <w:uiPriority w:val="99"/>
    <w:unhideWhenUsed/>
    <w:rsid w:val="00914DD5"/>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9C70-6037-4D41-819D-EC8A969B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Office Word</Application>
  <DocSecurity>4</DocSecurity>
  <Lines>29</Lines>
  <Paragraphs>8</Paragraphs>
  <ScaleCrop>false</ScaleCrop>
  <Company>国联安基金</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2022-02-23T02:13:00Z</cp:lastPrinted>
  <dcterms:created xsi:type="dcterms:W3CDTF">2024-04-15T16:00:00Z</dcterms:created>
  <dcterms:modified xsi:type="dcterms:W3CDTF">2024-04-15T16:00:00Z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