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893436" w:rsidP="00AC3CC5">
      <w:pPr>
        <w:widowControl/>
        <w:spacing w:line="360" w:lineRule="auto"/>
        <w:jc w:val="center"/>
        <w:rPr>
          <w:rFonts w:asciiTheme="minorEastAsia" w:eastAsiaTheme="minorEastAsia" w:hAnsiTheme="minorEastAsia" w:cs="宋体"/>
          <w:b/>
          <w:kern w:val="0"/>
          <w:sz w:val="30"/>
          <w:szCs w:val="30"/>
        </w:rPr>
      </w:pPr>
      <w:r w:rsidRPr="005C57A1">
        <w:rPr>
          <w:rFonts w:asciiTheme="minorEastAsia" w:eastAsiaTheme="minorEastAsia" w:hAnsiTheme="minorEastAsia" w:cs="宋体" w:hint="eastAsia"/>
          <w:b/>
          <w:kern w:val="0"/>
          <w:sz w:val="30"/>
          <w:szCs w:val="30"/>
        </w:rPr>
        <w:t>关于华安安盛3个月定期开放债券型发起式证券投资基金分红公告</w:t>
      </w:r>
    </w:p>
    <w:p w:rsidR="00893436" w:rsidRPr="002825C8" w:rsidRDefault="00893436" w:rsidP="00AC3CC5">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cs="宋体"/>
          <w:bCs/>
          <w:sz w:val="24"/>
          <w:szCs w:val="24"/>
        </w:rPr>
        <w:t>2024年4月16日</w:t>
      </w:r>
    </w:p>
    <w:p w:rsidR="00893436" w:rsidRPr="002825C8" w:rsidRDefault="00893436" w:rsidP="00AC3CC5">
      <w:pPr>
        <w:spacing w:line="360" w:lineRule="auto"/>
        <w:jc w:val="center"/>
        <w:rPr>
          <w:rFonts w:asciiTheme="minorEastAsia" w:eastAsiaTheme="minorEastAsia" w:hAnsiTheme="minorEastAsia"/>
          <w:color w:val="000000"/>
          <w:sz w:val="24"/>
          <w:szCs w:val="24"/>
        </w:rPr>
      </w:pP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0" w:name="_Toc275961418"/>
      <w:r w:rsidRPr="002825C8">
        <w:rPr>
          <w:rFonts w:asciiTheme="minorEastAsia" w:eastAsiaTheme="minorEastAsia" w:hAnsiTheme="minorEastAsia"/>
          <w:bCs w:val="0"/>
          <w:color w:val="000000"/>
          <w:sz w:val="24"/>
          <w:szCs w:val="24"/>
        </w:rPr>
        <w:t>1 公告基本信息</w:t>
      </w:r>
      <w:bookmarkEnd w:id="0"/>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5"/>
        <w:gridCol w:w="1565"/>
        <w:gridCol w:w="4515"/>
      </w:tblGrid>
      <w:tr w:rsidR="0039192C" w:rsidRPr="002825C8" w:rsidTr="00E60AF9">
        <w:trPr>
          <w:jc w:val="center"/>
        </w:trPr>
        <w:tc>
          <w:tcPr>
            <w:tcW w:w="3880"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w="4515"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华安安盛3个月定期开放债券型发起式证券投资基金</w:t>
            </w:r>
          </w:p>
        </w:tc>
      </w:tr>
      <w:tr w:rsidR="0039192C" w:rsidRPr="002825C8" w:rsidTr="00E60AF9">
        <w:trPr>
          <w:jc w:val="center"/>
        </w:trPr>
        <w:tc>
          <w:tcPr>
            <w:tcW w:w="3880"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w="4515"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华安安盛定开</w:t>
            </w:r>
          </w:p>
        </w:tc>
      </w:tr>
      <w:tr w:rsidR="0039192C" w:rsidRPr="002825C8" w:rsidTr="00E60AF9">
        <w:trPr>
          <w:jc w:val="center"/>
        </w:trPr>
        <w:tc>
          <w:tcPr>
            <w:tcW w:w="3880"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w="4515"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006936</w:t>
            </w:r>
          </w:p>
        </w:tc>
      </w:tr>
      <w:tr w:rsidR="0039192C" w:rsidRPr="002825C8" w:rsidTr="00E60AF9">
        <w:trPr>
          <w:jc w:val="center"/>
        </w:trPr>
        <w:tc>
          <w:tcPr>
            <w:tcW w:w="3880" w:type="dxa"/>
            <w:gridSpan w:val="2"/>
            <w:vAlign w:val="center"/>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w="4515" w:type="dxa"/>
            <w:vAlign w:val="center"/>
          </w:tcPr>
          <w:p w:rsidR="0039192C" w:rsidRPr="002825C8" w:rsidRDefault="003E51F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2019年1月25日</w:t>
            </w:r>
          </w:p>
        </w:tc>
      </w:tr>
      <w:tr w:rsidR="0039192C" w:rsidRPr="002825C8" w:rsidTr="00E60AF9">
        <w:trPr>
          <w:jc w:val="center"/>
        </w:trPr>
        <w:tc>
          <w:tcPr>
            <w:tcW w:w="3880"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w="4515"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华安基金管理有限公司</w:t>
            </w:r>
          </w:p>
        </w:tc>
      </w:tr>
      <w:tr w:rsidR="0039192C" w:rsidRPr="002825C8" w:rsidTr="00E60AF9">
        <w:trPr>
          <w:jc w:val="center"/>
        </w:trPr>
        <w:tc>
          <w:tcPr>
            <w:tcW w:w="3880"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w="4515"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浙商银行股份有限公司</w:t>
            </w:r>
          </w:p>
        </w:tc>
      </w:tr>
      <w:tr w:rsidR="0039192C" w:rsidRPr="002825C8" w:rsidTr="00E60AF9">
        <w:trPr>
          <w:jc w:val="center"/>
        </w:trPr>
        <w:tc>
          <w:tcPr>
            <w:tcW w:w="3880"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w="4515"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根据法律法规和《华安安盛3个月定期开放债券型发起式证券投资基金合同》的约定</w:t>
            </w:r>
          </w:p>
        </w:tc>
      </w:tr>
      <w:tr w:rsidR="00893436" w:rsidRPr="002825C8" w:rsidTr="00E60AF9">
        <w:trPr>
          <w:jc w:val="center"/>
        </w:trPr>
        <w:tc>
          <w:tcPr>
            <w:tcW w:w="3880" w:type="dxa"/>
            <w:gridSpan w:val="2"/>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w="4515" w:type="dxa"/>
          </w:tcPr>
          <w:p w:rsidR="00893436"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2024年4月8日</w:t>
            </w:r>
          </w:p>
        </w:tc>
      </w:tr>
      <w:tr w:rsidR="00893436" w:rsidRPr="002825C8" w:rsidTr="00E60AF9">
        <w:trPr>
          <w:jc w:val="center"/>
        </w:trPr>
        <w:tc>
          <w:tcPr>
            <w:tcW w:w="2315" w:type="dxa"/>
            <w:vMerge w:val="restart"/>
            <w:vAlign w:val="center"/>
          </w:tcPr>
          <w:p w:rsidR="00893436" w:rsidRPr="002825C8" w:rsidRDefault="00893436" w:rsidP="00AC3CC5">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截止收益分配基准日的相关指标</w:t>
            </w:r>
          </w:p>
        </w:tc>
        <w:tc>
          <w:tcPr>
            <w:tcW w:w="156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基准日基金份额净值</w:t>
            </w:r>
            <w:r w:rsidR="005439EC" w:rsidRPr="002825C8">
              <w:rPr>
                <w:rFonts w:asciiTheme="minorEastAsia" w:eastAsiaTheme="minorEastAsia" w:hAnsiTheme="minorEastAsia" w:hint="eastAsia"/>
                <w:sz w:val="24"/>
                <w:szCs w:val="24"/>
              </w:rPr>
              <w:t>（单位：</w:t>
            </w:r>
            <w:r w:rsidR="00F645EE" w:rsidRPr="002825C8">
              <w:rPr>
                <w:rFonts w:asciiTheme="minorEastAsia" w:eastAsiaTheme="minorEastAsia" w:hAnsiTheme="minorEastAsia" w:hint="eastAsia"/>
                <w:color w:val="000000"/>
                <w:kern w:val="0"/>
                <w:sz w:val="24"/>
                <w:szCs w:val="24"/>
              </w:rPr>
              <w:t>元</w:t>
            </w:r>
            <w:r w:rsidR="005439EC" w:rsidRPr="002825C8">
              <w:rPr>
                <w:rFonts w:asciiTheme="minorEastAsia" w:eastAsiaTheme="minorEastAsia" w:hAnsiTheme="minorEastAsia" w:hint="eastAsia"/>
                <w:sz w:val="24"/>
                <w:szCs w:val="24"/>
              </w:rPr>
              <w:t>）</w:t>
            </w:r>
          </w:p>
        </w:tc>
        <w:tc>
          <w:tcPr>
            <w:tcW w:w="4515" w:type="dxa"/>
          </w:tcPr>
          <w:p w:rsidR="00893436" w:rsidRPr="002825C8" w:rsidRDefault="003160F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1.0511</w:t>
            </w:r>
          </w:p>
        </w:tc>
      </w:tr>
      <w:tr w:rsidR="00893436" w:rsidRPr="002825C8" w:rsidTr="00E60AF9">
        <w:trPr>
          <w:jc w:val="center"/>
        </w:trPr>
        <w:tc>
          <w:tcPr>
            <w:tcW w:w="2315" w:type="dxa"/>
            <w:vMerge/>
          </w:tcPr>
          <w:p w:rsidR="00893436" w:rsidRPr="002825C8" w:rsidRDefault="00893436" w:rsidP="00AC3CC5">
            <w:pPr>
              <w:spacing w:line="360" w:lineRule="auto"/>
              <w:rPr>
                <w:rFonts w:asciiTheme="minorEastAsia" w:eastAsiaTheme="minorEastAsia" w:hAnsiTheme="minorEastAsia"/>
                <w:color w:val="000000"/>
                <w:sz w:val="24"/>
                <w:szCs w:val="24"/>
              </w:rPr>
            </w:pPr>
          </w:p>
        </w:tc>
        <w:tc>
          <w:tcPr>
            <w:tcW w:w="156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基准日基金可供分配利润</w:t>
            </w:r>
            <w:r w:rsidR="005439EC" w:rsidRPr="002825C8">
              <w:rPr>
                <w:rFonts w:asciiTheme="minorEastAsia" w:eastAsiaTheme="minorEastAsia" w:hAnsiTheme="minorEastAsia" w:hint="eastAsia"/>
                <w:sz w:val="24"/>
                <w:szCs w:val="24"/>
              </w:rPr>
              <w:t>（单位：</w:t>
            </w:r>
            <w:r w:rsidR="00F645EE" w:rsidRPr="002825C8">
              <w:rPr>
                <w:rFonts w:asciiTheme="minorEastAsia" w:eastAsiaTheme="minorEastAsia" w:hAnsiTheme="minorEastAsia" w:hint="eastAsia"/>
                <w:color w:val="000000"/>
                <w:kern w:val="0"/>
                <w:sz w:val="24"/>
                <w:szCs w:val="24"/>
              </w:rPr>
              <w:t>元</w:t>
            </w:r>
            <w:r w:rsidR="005439EC" w:rsidRPr="002825C8">
              <w:rPr>
                <w:rFonts w:asciiTheme="minorEastAsia" w:eastAsiaTheme="minorEastAsia" w:hAnsiTheme="minorEastAsia" w:hint="eastAsia"/>
                <w:sz w:val="24"/>
                <w:szCs w:val="24"/>
              </w:rPr>
              <w:t>）</w:t>
            </w:r>
          </w:p>
        </w:tc>
        <w:tc>
          <w:tcPr>
            <w:tcW w:w="4515" w:type="dxa"/>
          </w:tcPr>
          <w:p w:rsidR="00893436" w:rsidRPr="002825C8" w:rsidRDefault="003160F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54,910,703.64</w:t>
            </w:r>
          </w:p>
        </w:tc>
      </w:tr>
      <w:tr w:rsidR="00893436" w:rsidRPr="002825C8" w:rsidTr="00E60AF9">
        <w:trPr>
          <w:jc w:val="center"/>
        </w:trPr>
        <w:tc>
          <w:tcPr>
            <w:tcW w:w="3880" w:type="dxa"/>
            <w:gridSpan w:val="2"/>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本次分红方案（单位：元/10份基金份额）</w:t>
            </w:r>
          </w:p>
        </w:tc>
        <w:tc>
          <w:tcPr>
            <w:tcW w:w="4515" w:type="dxa"/>
          </w:tcPr>
          <w:p w:rsidR="00893436" w:rsidRPr="002825C8" w:rsidRDefault="009732A4"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0.1430</w:t>
            </w:r>
          </w:p>
        </w:tc>
      </w:tr>
      <w:tr w:rsidR="00893436" w:rsidRPr="002825C8" w:rsidTr="00E60AF9">
        <w:trPr>
          <w:jc w:val="center"/>
        </w:trPr>
        <w:tc>
          <w:tcPr>
            <w:tcW w:w="3880" w:type="dxa"/>
            <w:gridSpan w:val="2"/>
            <w:vAlign w:val="center"/>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有关年度分红次数的说明</w:t>
            </w:r>
          </w:p>
        </w:tc>
        <w:tc>
          <w:tcPr>
            <w:tcW w:w="4515" w:type="dxa"/>
            <w:vAlign w:val="center"/>
          </w:tcPr>
          <w:p w:rsidR="00893436" w:rsidRPr="002825C8" w:rsidRDefault="009732A4"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本次分红为2024年度的第一次分红</w:t>
            </w:r>
          </w:p>
        </w:tc>
      </w:tr>
    </w:tbl>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1" w:name="_Toc275961419"/>
      <w:r w:rsidRPr="002825C8">
        <w:rPr>
          <w:rFonts w:asciiTheme="minorEastAsia" w:eastAsiaTheme="minorEastAsia" w:hAnsiTheme="minorEastAsia"/>
          <w:bCs w:val="0"/>
          <w:color w:val="000000"/>
          <w:sz w:val="24"/>
          <w:szCs w:val="24"/>
        </w:rPr>
        <w:lastRenderedPageBreak/>
        <w:t>2 与分红相关的其他信息</w:t>
      </w:r>
      <w:bookmarkEnd w:id="1"/>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7"/>
        <w:gridCol w:w="4641"/>
      </w:tblGrid>
      <w:tr w:rsidR="00893436" w:rsidRPr="002825C8" w:rsidTr="00E60AF9">
        <w:trPr>
          <w:jc w:val="center"/>
        </w:trPr>
        <w:tc>
          <w:tcPr>
            <w:tcW w:w="3677"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w="4641" w:type="dxa"/>
          </w:tcPr>
          <w:p w:rsidR="00893436" w:rsidRPr="002825C8" w:rsidRDefault="00362297"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2024年4月18日</w:t>
            </w:r>
          </w:p>
        </w:tc>
      </w:tr>
      <w:tr w:rsidR="00E60AF9" w:rsidRPr="002825C8" w:rsidTr="00E60AF9">
        <w:trPr>
          <w:jc w:val="center"/>
        </w:trPr>
        <w:tc>
          <w:tcPr>
            <w:tcW w:w="3677" w:type="dxa"/>
          </w:tcPr>
          <w:p w:rsidR="0009778C" w:rsidRPr="002825C8" w:rsidRDefault="0009778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w="4641" w:type="dxa"/>
          </w:tcPr>
          <w:p w:rsidR="0009778C" w:rsidRPr="002825C8" w:rsidRDefault="00E16B6D"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2024年4月18</w:t>
            </w:r>
            <w:r w:rsidR="00E60AF9">
              <w:rPr>
                <w:rFonts w:asciiTheme="minorEastAsia" w:eastAsiaTheme="minorEastAsia" w:hAnsiTheme="minorEastAsia"/>
                <w:sz w:val="24"/>
                <w:szCs w:val="24"/>
              </w:rPr>
              <w:t>日</w:t>
            </w:r>
          </w:p>
        </w:tc>
      </w:tr>
      <w:tr w:rsidR="00893436" w:rsidRPr="002825C8" w:rsidTr="00E60AF9">
        <w:trPr>
          <w:jc w:val="center"/>
        </w:trPr>
        <w:tc>
          <w:tcPr>
            <w:tcW w:w="3677"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w="4641" w:type="dxa"/>
          </w:tcPr>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2024年4月19日</w:t>
            </w:r>
          </w:p>
        </w:tc>
      </w:tr>
      <w:tr w:rsidR="00893436" w:rsidRPr="002825C8" w:rsidTr="00E60AF9">
        <w:trPr>
          <w:jc w:val="center"/>
        </w:trPr>
        <w:tc>
          <w:tcPr>
            <w:tcW w:w="3677"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w="4641" w:type="dxa"/>
            <w:shd w:val="clear" w:color="auto" w:fill="auto"/>
          </w:tcPr>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权益登记日在华安基金管理有限公司登记在册的本基金全体持有人</w:t>
            </w:r>
          </w:p>
        </w:tc>
      </w:tr>
      <w:tr w:rsidR="00893436" w:rsidRPr="002825C8" w:rsidTr="00E60AF9">
        <w:trPr>
          <w:jc w:val="center"/>
        </w:trPr>
        <w:tc>
          <w:tcPr>
            <w:tcW w:w="3677" w:type="dxa"/>
            <w:shd w:val="clear" w:color="auto" w:fill="auto"/>
            <w:vAlign w:val="center"/>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w="4641" w:type="dxa"/>
            <w:shd w:val="clear" w:color="auto" w:fill="auto"/>
          </w:tcPr>
          <w:p w:rsidR="005638C4" w:rsidRDefault="00E60AF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1）红利再投资日：2024年4月19日；</w:t>
            </w:r>
          </w:p>
          <w:p w:rsidR="005638C4" w:rsidRDefault="00E60AF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2）选择红利再投资方式的投资者红利再投资份额将于2024年4月22日直接计入其基金账户，4月23日起可查询；</w:t>
            </w:r>
          </w:p>
          <w:p w:rsidR="005638C4" w:rsidRDefault="00E60AF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3）红利再投资按红利划出日（2024年4月19日）的基金份额净值再投资基金份额，不足0.01份基金份额的，四舍五入；</w:t>
            </w:r>
          </w:p>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4）权益登记日之前（2024年4月18日）被冻结或托管转出尚未转入的基金份额应分得的现金红利按红利再投资方式处理。</w:t>
            </w:r>
          </w:p>
        </w:tc>
      </w:tr>
      <w:tr w:rsidR="00893436" w:rsidRPr="002825C8" w:rsidTr="00E60AF9">
        <w:trPr>
          <w:jc w:val="center"/>
        </w:trPr>
        <w:tc>
          <w:tcPr>
            <w:tcW w:w="3677"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w="4641" w:type="dxa"/>
            <w:shd w:val="clear" w:color="auto" w:fill="auto"/>
          </w:tcPr>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根据相关法律法规的规定，对投资者（包括个人和机构投资者）从基金分配中取得的收入，暂不征收个人所得税和企业所得税。</w:t>
            </w:r>
          </w:p>
        </w:tc>
      </w:tr>
      <w:tr w:rsidR="00893436" w:rsidRPr="002825C8" w:rsidTr="00E60AF9">
        <w:trPr>
          <w:jc w:val="center"/>
        </w:trPr>
        <w:tc>
          <w:tcPr>
            <w:tcW w:w="3677"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w="4641" w:type="dxa"/>
            <w:shd w:val="clear" w:color="auto" w:fill="auto"/>
          </w:tcPr>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本基金本次分红免收分红手续费和再投资手续费。</w:t>
            </w:r>
          </w:p>
        </w:tc>
      </w:tr>
    </w:tbl>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2" w:name="_Toc275961420"/>
      <w:r w:rsidRPr="002825C8">
        <w:rPr>
          <w:rFonts w:asciiTheme="minorEastAsia" w:eastAsiaTheme="minorEastAsia" w:hAnsiTheme="minorEastAsia"/>
          <w:bCs w:val="0"/>
          <w:color w:val="000000"/>
          <w:sz w:val="24"/>
          <w:szCs w:val="24"/>
        </w:rPr>
        <w:t>3 其他需要提示的事项</w:t>
      </w:r>
      <w:bookmarkEnd w:id="2"/>
    </w:p>
    <w:p w:rsidR="005638C4" w:rsidRDefault="00E60AF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1）基金份额持有人可以选择现金红利或将所获红利再投资于本基金，如果基金份额持有人未选择本基金具体分红方式，则默认为现金方式。</w:t>
      </w:r>
    </w:p>
    <w:p w:rsidR="005638C4" w:rsidRDefault="00E60AF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投资者可以在每个基金开放日的交易时间内到销售网点查询和修改分红方式，也可以通过华安基金管理公司网站或电话交易系统查询和变更基金收益分配方式。如投资者在不同销售机构选择的分红方式不同，将按照投资者在权益登</w:t>
      </w:r>
      <w:r>
        <w:rPr>
          <w:rFonts w:asciiTheme="minorEastAsia" w:eastAsiaTheme="minorEastAsia" w:hAnsiTheme="minorEastAsia"/>
          <w:sz w:val="24"/>
          <w:szCs w:val="24"/>
        </w:rPr>
        <w:lastRenderedPageBreak/>
        <w:t xml:space="preserve">记日之前最后一次选择的分红方式为准。 </w:t>
      </w:r>
    </w:p>
    <w:p w:rsidR="005638C4" w:rsidRDefault="00E60AF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凡希望修改分红方式的，请务必在2024年4月17日之前（含该日）办理变更手续。 </w:t>
      </w:r>
    </w:p>
    <w:p w:rsidR="005638C4" w:rsidRDefault="00E60AF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3）如有其它疑问,请拨打本公司客户服务电话(40088-50099)或登陆本公司网站(www.huaan.com.cn)获取相关信息。 </w:t>
      </w:r>
    </w:p>
    <w:p w:rsidR="005638C4" w:rsidRDefault="00E60AF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特此公告。    </w:t>
      </w:r>
      <w:bookmarkStart w:id="3" w:name="_GoBack"/>
      <w:bookmarkEnd w:id="3"/>
    </w:p>
    <w:p w:rsidR="005638C4" w:rsidRDefault="00E60AF9" w:rsidP="00E60AF9">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                                       华安基金管理有限公司</w:t>
      </w:r>
    </w:p>
    <w:p w:rsidR="00364C2A" w:rsidRPr="002825C8" w:rsidRDefault="00284B1B" w:rsidP="00E60AF9">
      <w:pPr>
        <w:spacing w:line="360" w:lineRule="auto"/>
        <w:ind w:firstLineChars="200" w:firstLine="480"/>
        <w:jc w:val="right"/>
        <w:rPr>
          <w:rFonts w:asciiTheme="minorEastAsia" w:eastAsiaTheme="minorEastAsia" w:hAnsiTheme="minorEastAsia"/>
          <w:sz w:val="24"/>
          <w:szCs w:val="24"/>
        </w:rPr>
      </w:pPr>
      <w:r w:rsidRPr="002825C8">
        <w:rPr>
          <w:rFonts w:asciiTheme="minorEastAsia" w:eastAsiaTheme="minorEastAsia" w:hAnsiTheme="minorEastAsia"/>
          <w:sz w:val="24"/>
          <w:szCs w:val="24"/>
        </w:rPr>
        <w:t xml:space="preserve">                                           2024年4月16日</w:t>
      </w:r>
    </w:p>
    <w:sectPr w:rsidR="00364C2A" w:rsidRPr="002825C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65" w:rsidRDefault="00AF7265" w:rsidP="00893436">
      <w:r>
        <w:separator/>
      </w:r>
    </w:p>
  </w:endnote>
  <w:endnote w:type="continuationSeparator" w:id="0">
    <w:p w:rsidR="00AF7265" w:rsidRDefault="00AF7265"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65" w:rsidRDefault="00AF7265" w:rsidP="00893436">
      <w:r>
        <w:separator/>
      </w:r>
    </w:p>
  </w:footnote>
  <w:footnote w:type="continuationSeparator" w:id="0">
    <w:p w:rsidR="00AF7265" w:rsidRDefault="00AF7265"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41353"/>
    <w:rsid w:val="00057AC1"/>
    <w:rsid w:val="00083B7C"/>
    <w:rsid w:val="00085F5C"/>
    <w:rsid w:val="0009778C"/>
    <w:rsid w:val="000A19B2"/>
    <w:rsid w:val="000C39F6"/>
    <w:rsid w:val="00111BD0"/>
    <w:rsid w:val="00135CA1"/>
    <w:rsid w:val="001E1256"/>
    <w:rsid w:val="00226206"/>
    <w:rsid w:val="00242E4D"/>
    <w:rsid w:val="002641B7"/>
    <w:rsid w:val="002744A0"/>
    <w:rsid w:val="002825C8"/>
    <w:rsid w:val="00284B1B"/>
    <w:rsid w:val="002A63B7"/>
    <w:rsid w:val="002C08C5"/>
    <w:rsid w:val="003160F8"/>
    <w:rsid w:val="00362297"/>
    <w:rsid w:val="00386931"/>
    <w:rsid w:val="0039192C"/>
    <w:rsid w:val="003E51F2"/>
    <w:rsid w:val="00410642"/>
    <w:rsid w:val="00411A38"/>
    <w:rsid w:val="00462525"/>
    <w:rsid w:val="00486934"/>
    <w:rsid w:val="004966BA"/>
    <w:rsid w:val="00506E3A"/>
    <w:rsid w:val="005439EC"/>
    <w:rsid w:val="005638C4"/>
    <w:rsid w:val="005715B6"/>
    <w:rsid w:val="005B087C"/>
    <w:rsid w:val="005C57A1"/>
    <w:rsid w:val="00602C3F"/>
    <w:rsid w:val="006A2E06"/>
    <w:rsid w:val="006E41A5"/>
    <w:rsid w:val="00721B55"/>
    <w:rsid w:val="00751BA5"/>
    <w:rsid w:val="007C142C"/>
    <w:rsid w:val="007D01E7"/>
    <w:rsid w:val="007F6075"/>
    <w:rsid w:val="00834BAE"/>
    <w:rsid w:val="00893436"/>
    <w:rsid w:val="008D1F66"/>
    <w:rsid w:val="00901C58"/>
    <w:rsid w:val="009117E2"/>
    <w:rsid w:val="009732A4"/>
    <w:rsid w:val="00A17D69"/>
    <w:rsid w:val="00A81C93"/>
    <w:rsid w:val="00AB1981"/>
    <w:rsid w:val="00AC3CC5"/>
    <w:rsid w:val="00AF7265"/>
    <w:rsid w:val="00B44BBE"/>
    <w:rsid w:val="00B71DA2"/>
    <w:rsid w:val="00BA7F58"/>
    <w:rsid w:val="00BD7533"/>
    <w:rsid w:val="00BF5698"/>
    <w:rsid w:val="00BF5FB8"/>
    <w:rsid w:val="00C31B5B"/>
    <w:rsid w:val="00C33DDD"/>
    <w:rsid w:val="00CB3D18"/>
    <w:rsid w:val="00CC001C"/>
    <w:rsid w:val="00DB7CD4"/>
    <w:rsid w:val="00E16B6D"/>
    <w:rsid w:val="00E22B04"/>
    <w:rsid w:val="00E24390"/>
    <w:rsid w:val="00E379B4"/>
    <w:rsid w:val="00E60AF9"/>
    <w:rsid w:val="00EA12C9"/>
    <w:rsid w:val="00F0033B"/>
    <w:rsid w:val="00F42CA6"/>
    <w:rsid w:val="00F45E48"/>
    <w:rsid w:val="00F64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1026</Characters>
  <Application>Microsoft Office Word</Application>
  <DocSecurity>4</DocSecurity>
  <Lines>8</Lines>
  <Paragraphs>2</Paragraphs>
  <ScaleCrop>false</ScaleCrop>
  <Company>微软中国</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2024-04-15T16:01:00Z</dcterms:created>
  <dcterms:modified xsi:type="dcterms:W3CDTF">2024-04-15T16:01:00Z</dcterms:modified>
</cp:coreProperties>
</file>