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A" w:rsidRDefault="002B4991">
      <w:pPr>
        <w:spacing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  <w:jc w:val="center"/>
        <w:rPr>
          <w:rFonts w:ascii="宋体" w:eastAsia="宋体" w:cs="宋体"/>
          <w:sz w:val="48"/>
          <w:szCs w:val="48"/>
        </w:rPr>
      </w:pPr>
      <w:r>
        <w:rPr>
          <w:rFonts w:ascii="宋体" w:eastAsia="宋体" w:cs="宋体"/>
          <w:b/>
          <w:bCs/>
          <w:sz w:val="48"/>
          <w:szCs w:val="48"/>
        </w:rPr>
        <w:t>鹏华产业债债券型证券投资基金A类基金份额调整大额申购、转换转入和定期定额投资业务的公告</w:t>
      </w:r>
    </w:p>
    <w:p w:rsidR="00FD40AA" w:rsidRDefault="002B4991">
      <w:pPr>
        <w:spacing w:before="280" w:after="280"/>
        <w:jc w:val="center"/>
      </w:pPr>
      <w:r>
        <w:t> </w:t>
      </w:r>
    </w:p>
    <w:p w:rsidR="00FD40AA" w:rsidRDefault="002B4991">
      <w:pPr>
        <w:spacing w:before="280" w:after="280"/>
        <w:jc w:val="center"/>
      </w:pPr>
      <w:r>
        <w:t> </w:t>
      </w:r>
    </w:p>
    <w:p w:rsidR="00FD40AA" w:rsidRDefault="002B4991">
      <w:pPr>
        <w:spacing w:before="280" w:after="280"/>
        <w:jc w:val="center"/>
      </w:pPr>
      <w:r>
        <w:t> </w:t>
      </w:r>
    </w:p>
    <w:p w:rsidR="00FD40AA" w:rsidRDefault="002B4991">
      <w:pPr>
        <w:spacing w:before="280" w:after="280"/>
        <w:jc w:val="center"/>
      </w:pPr>
      <w:r>
        <w:t> </w:t>
      </w:r>
    </w:p>
    <w:p w:rsidR="00FD40AA" w:rsidRDefault="002B4991">
      <w:pPr>
        <w:spacing w:before="280" w:after="280"/>
        <w:jc w:val="center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  <w:ind w:left="2100" w:firstLine="420"/>
        <w:rPr>
          <w:sz w:val="28"/>
          <w:szCs w:val="28"/>
        </w:rPr>
      </w:pPr>
      <w:r>
        <w:rPr>
          <w:rFonts w:ascii="宋体" w:eastAsia="宋体" w:cs="宋体"/>
          <w:b/>
          <w:bCs/>
          <w:sz w:val="28"/>
          <w:szCs w:val="28"/>
        </w:rPr>
        <w:t>公告送出日期：2024年04月12日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t> </w:t>
      </w:r>
    </w:p>
    <w:p w:rsidR="00FD40AA" w:rsidRDefault="002B4991">
      <w:pPr>
        <w:spacing w:before="280" w:after="280"/>
      </w:pPr>
      <w:r>
        <w:lastRenderedPageBreak/>
        <w:t> </w:t>
      </w:r>
    </w:p>
    <w:p w:rsidR="00FD40AA" w:rsidRDefault="002B4991" w:rsidP="00E466CA">
      <w:pPr>
        <w:spacing w:before="240" w:line="360" w:lineRule="auto"/>
      </w:pPr>
      <w:r>
        <w:rPr>
          <w:rFonts w:ascii="宋体" w:eastAsia="宋体" w:cs="宋体"/>
          <w:b/>
          <w:bCs/>
        </w:rPr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000"/>
      </w:tblPr>
      <w:tblGrid>
        <w:gridCol w:w="3568"/>
        <w:gridCol w:w="1984"/>
        <w:gridCol w:w="2296"/>
      </w:tblGrid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基金名称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鹏华产业债债券型证券投资基金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基金简称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基金主代码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206018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基金管理人名称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鹏华基金管理有限公司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公告依据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《鹏华产业债债券型证券投资基金基金合同》（以下简称</w:t>
            </w:r>
            <w:r>
              <w:rPr>
                <w:rFonts w:ascii="宋体" w:eastAsia="宋体" w:cs="宋体"/>
                <w:sz w:val="21"/>
                <w:szCs w:val="21"/>
              </w:rPr>
              <w:t>“</w:t>
            </w:r>
            <w:r>
              <w:rPr>
                <w:rFonts w:ascii="宋体" w:eastAsia="宋体" w:cs="宋体"/>
                <w:sz w:val="21"/>
                <w:szCs w:val="21"/>
              </w:rPr>
              <w:t>基金合同</w:t>
            </w:r>
            <w:r>
              <w:rPr>
                <w:rFonts w:ascii="宋体" w:eastAsia="宋体" w:cs="宋体"/>
                <w:sz w:val="21"/>
                <w:szCs w:val="21"/>
              </w:rPr>
              <w:t>”</w:t>
            </w:r>
            <w:r>
              <w:rPr>
                <w:rFonts w:ascii="宋体" w:eastAsia="宋体" w:cs="宋体"/>
                <w:sz w:val="21"/>
                <w:szCs w:val="21"/>
              </w:rPr>
              <w:t>）、《鹏华产业债债券型证券投资基金招募说明书》及其更新（以下简称</w:t>
            </w:r>
            <w:r>
              <w:rPr>
                <w:rFonts w:ascii="宋体" w:eastAsia="宋体" w:cs="宋体"/>
                <w:sz w:val="21"/>
                <w:szCs w:val="21"/>
              </w:rPr>
              <w:t>“</w:t>
            </w:r>
            <w:r>
              <w:rPr>
                <w:rFonts w:ascii="宋体" w:eastAsia="宋体" w:cs="宋体"/>
                <w:sz w:val="21"/>
                <w:szCs w:val="21"/>
              </w:rPr>
              <w:t>招募说明书</w:t>
            </w:r>
            <w:r>
              <w:rPr>
                <w:rFonts w:ascii="宋体" w:eastAsia="宋体" w:cs="宋体"/>
                <w:sz w:val="21"/>
                <w:szCs w:val="21"/>
              </w:rPr>
              <w:t>”</w:t>
            </w:r>
            <w:r>
              <w:rPr>
                <w:rFonts w:ascii="宋体" w:eastAsia="宋体" w:cs="宋体"/>
                <w:sz w:val="21"/>
                <w:szCs w:val="21"/>
              </w:rPr>
              <w:t>）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调整大额申购起始日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2024年04月15日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调整大额转换转入起始日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2024年04月15日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调整大额定期定额投资起始日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2024年04月15日</w:t>
            </w:r>
          </w:p>
        </w:tc>
      </w:tr>
      <w:tr w:rsidR="00FD40AA" w:rsidTr="00E466CA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调整大额申购（转换转入、定期定额投资）的原因说明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满足投资者的投资需求</w:t>
            </w:r>
          </w:p>
        </w:tc>
      </w:tr>
      <w:tr w:rsidR="00FD40AA" w:rsidTr="002E4D71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下属基金份额类别的基金简称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鹏华产业债债券A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鹏华产业债债券C</w:t>
            </w:r>
          </w:p>
        </w:tc>
      </w:tr>
      <w:tr w:rsidR="00FD40AA" w:rsidTr="002E4D71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下属基金份额类别的基金代码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206018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019302</w:t>
            </w:r>
          </w:p>
        </w:tc>
      </w:tr>
      <w:tr w:rsidR="00FD40AA" w:rsidTr="002E4D71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该类基金份额是否调整大额申购（转换转入、定期定额投资）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是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否</w:t>
            </w:r>
          </w:p>
        </w:tc>
      </w:tr>
      <w:tr w:rsidR="00FD40AA" w:rsidTr="002E4D71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该类基金份额的限制申购大额申购（转换转入、定期定额投资）金额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5,000,000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FD40AA" w:rsidRDefault="002B4991" w:rsidP="00E466CA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-</w:t>
            </w:r>
          </w:p>
        </w:tc>
      </w:tr>
    </w:tbl>
    <w:p w:rsidR="00FD40AA" w:rsidRDefault="002B4991" w:rsidP="00AD6334">
      <w:pPr>
        <w:spacing w:beforeLines="100" w:line="360" w:lineRule="auto"/>
      </w:pPr>
      <w:r>
        <w:rPr>
          <w:rFonts w:ascii="宋体" w:eastAsia="宋体" w:cs="宋体"/>
          <w:b/>
          <w:bCs/>
        </w:rPr>
        <w:t>2其他需要提示的事项</w:t>
      </w:r>
    </w:p>
    <w:p w:rsidR="00FD40AA" w:rsidRPr="00E466CA" w:rsidRDefault="002B499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（1）鹏华产业债债券型证券投资基金（以下简称“本基金”）A类基金份额自2024年04月15日起，单日单个基金账户累计申购、转换转入、定期定额投资金额限额由100万元调整为500万元。如某笔申请将导致单日单个基金</w:t>
      </w:r>
      <w:bookmarkStart w:id="0" w:name="_GoBack"/>
      <w:bookmarkEnd w:id="0"/>
      <w:r w:rsidRPr="00E466CA">
        <w:rPr>
          <w:rFonts w:ascii="宋体" w:eastAsia="宋体" w:hAnsi="宋体" w:cs="宋体"/>
          <w:sz w:val="21"/>
          <w:szCs w:val="21"/>
        </w:rPr>
        <w:t>账户累计申购、转换转入、定期定额投资本基金A类基金份额金额超过500万元（不含500万元），本基金管理人将有权拒绝该笔申请。本基金C类基金份额不受上述申购金额限制。</w:t>
      </w:r>
    </w:p>
    <w:p w:rsidR="00FD40AA" w:rsidRPr="00E466CA" w:rsidRDefault="002B499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（2）在暂停大额申购、转换转入、定期定额投资业务期间，赎回和转换转出等其他业务仍照常办理。恢复办理本基金A类基金份额的大额申购、转换转入、定期定额投资业务或调整上述业务限制，基金管理人届时将另行公告。</w:t>
      </w:r>
    </w:p>
    <w:p w:rsidR="00FD40AA" w:rsidRPr="00E466CA" w:rsidRDefault="002B499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（3）投资者可登录本基金管理人网站（www.phfund.com.cn），或拨打客户服务电话（400-6788-533）咨询相关信息。</w:t>
      </w:r>
    </w:p>
    <w:p w:rsidR="00FD40AA" w:rsidRPr="00E466CA" w:rsidRDefault="002B499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E466CA">
        <w:rPr>
          <w:rFonts w:ascii="宋体" w:eastAsia="宋体" w:hAnsi="宋体"/>
          <w:sz w:val="21"/>
          <w:szCs w:val="21"/>
        </w:rPr>
        <w:t> </w:t>
      </w:r>
    </w:p>
    <w:p w:rsidR="00FD40AA" w:rsidRPr="00E466CA" w:rsidRDefault="002B499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定期定额投资是引导投资人进行长期投资、平均投资成本的一种简单易行的投资方式。但是定期定额投资并不能规避基金投资所固有的风险，不能保证投资人获得收益，也不是替代储蓄的等效理财方式。投</w:t>
      </w:r>
      <w:r w:rsidRPr="00E466CA">
        <w:rPr>
          <w:rFonts w:ascii="宋体" w:eastAsia="宋体" w:hAnsi="宋体" w:cs="宋体"/>
          <w:sz w:val="21"/>
          <w:szCs w:val="21"/>
        </w:rPr>
        <w:lastRenderedPageBreak/>
        <w:t>资者投资于本基金前应认真阅读本基金的基金合同、招募说明书(更新)、基金产品资料概要（更新）等文件，并根据自身风险承受能力选择适合自己的基金产品。</w:t>
      </w:r>
    </w:p>
    <w:p w:rsidR="00FD40AA" w:rsidRPr="00E466CA" w:rsidRDefault="002B499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特此公告。</w:t>
      </w:r>
    </w:p>
    <w:p w:rsidR="00FD40AA" w:rsidRPr="00E466CA" w:rsidRDefault="002B4991">
      <w:pPr>
        <w:spacing w:before="280" w:after="280" w:line="360" w:lineRule="auto"/>
        <w:rPr>
          <w:rFonts w:ascii="宋体" w:eastAsia="宋体" w:hAnsi="宋体"/>
        </w:rPr>
      </w:pPr>
      <w:r w:rsidRPr="00E466CA">
        <w:rPr>
          <w:rFonts w:ascii="宋体" w:eastAsia="宋体" w:hAnsi="宋体"/>
        </w:rPr>
        <w:t> </w:t>
      </w:r>
    </w:p>
    <w:p w:rsidR="00FD40AA" w:rsidRPr="00E466CA" w:rsidRDefault="002B4991">
      <w:pPr>
        <w:spacing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鹏华基金管理有限公司</w:t>
      </w:r>
    </w:p>
    <w:p w:rsidR="00FD40AA" w:rsidRPr="00E466CA" w:rsidRDefault="002B4991">
      <w:pPr>
        <w:spacing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E466CA">
        <w:rPr>
          <w:rFonts w:ascii="宋体" w:eastAsia="宋体" w:hAnsi="宋体" w:cs="宋体"/>
          <w:sz w:val="21"/>
          <w:szCs w:val="21"/>
        </w:rPr>
        <w:t>2024年04月12日</w:t>
      </w:r>
    </w:p>
    <w:p w:rsidR="00FD40AA" w:rsidRPr="00E466CA" w:rsidRDefault="002B4991">
      <w:pPr>
        <w:rPr>
          <w:rFonts w:ascii="宋体" w:eastAsia="宋体" w:hAnsi="宋体"/>
        </w:rPr>
      </w:pPr>
      <w:r w:rsidRPr="00E466CA">
        <w:rPr>
          <w:rFonts w:ascii="宋体" w:eastAsia="宋体" w:hAnsi="宋体"/>
        </w:rPr>
        <w:t> </w:t>
      </w:r>
    </w:p>
    <w:p w:rsidR="00FD40AA" w:rsidRPr="00E466CA" w:rsidRDefault="00FD40AA">
      <w:pPr>
        <w:rPr>
          <w:rFonts w:ascii="宋体" w:eastAsia="宋体" w:hAnsi="宋体"/>
        </w:rPr>
      </w:pPr>
    </w:p>
    <w:sectPr w:rsidR="00FD40AA" w:rsidRPr="00E466CA" w:rsidSect="00C71F62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AD" w:rsidRDefault="00A625AD">
      <w:r>
        <w:separator/>
      </w:r>
    </w:p>
  </w:endnote>
  <w:endnote w:type="continuationSeparator" w:id="0">
    <w:p w:rsidR="00A625AD" w:rsidRDefault="00A6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AA" w:rsidRDefault="00C71F62">
    <w:pPr>
      <w:jc w:val="center"/>
    </w:pPr>
    <w:r>
      <w:rPr>
        <w:rFonts w:ascii="宋体" w:eastAsia="宋体" w:cs="宋体"/>
        <w:sz w:val="18"/>
      </w:rPr>
      <w:fldChar w:fldCharType="begin"/>
    </w:r>
    <w:r w:rsidR="002B4991">
      <w:rPr>
        <w:rFonts w:ascii="宋体" w:eastAsia="宋体" w:cs="宋体"/>
        <w:sz w:val="18"/>
      </w:rPr>
      <w:instrText xml:space="preserve"> PAGE </w:instrText>
    </w:r>
    <w:r>
      <w:rPr>
        <w:rFonts w:ascii="宋体" w:eastAsia="宋体" w:cs="宋体"/>
        <w:sz w:val="18"/>
      </w:rPr>
      <w:fldChar w:fldCharType="separate"/>
    </w:r>
    <w:r w:rsidR="00AD6334">
      <w:rPr>
        <w:rFonts w:ascii="宋体" w:eastAsia="宋体" w:cs="宋体"/>
        <w:noProof/>
        <w:sz w:val="18"/>
      </w:rPr>
      <w:t>1</w:t>
    </w:r>
    <w:r>
      <w:rPr>
        <w:rFonts w:ascii="宋体" w:eastAsia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AD" w:rsidRDefault="00A625AD">
      <w:r>
        <w:separator/>
      </w:r>
    </w:p>
  </w:footnote>
  <w:footnote w:type="continuationSeparator" w:id="0">
    <w:p w:rsidR="00A625AD" w:rsidRDefault="00A62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growAutofit/>
    <w:useFELayout/>
    <w:doNotUseIndentAsNumberingTabStop/>
    <w:useAltKinsokuLineBreakRules/>
    <w:splitPgBreakAndParaMark/>
  </w:compat>
  <w:rsids>
    <w:rsidRoot w:val="00FD40AA"/>
    <w:rsid w:val="002B4991"/>
    <w:rsid w:val="002E4D71"/>
    <w:rsid w:val="00A625AD"/>
    <w:rsid w:val="00AD6334"/>
    <w:rsid w:val="00C71F62"/>
    <w:rsid w:val="00E466CA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F62"/>
    <w:rPr>
      <w:rFonts w:eastAsia="Times New Roman"/>
      <w:sz w:val="24"/>
      <w:szCs w:val="24"/>
    </w:rPr>
  </w:style>
  <w:style w:type="paragraph" w:styleId="1">
    <w:name w:val="heading 1"/>
    <w:basedOn w:val="a"/>
    <w:next w:val="a"/>
    <w:rsid w:val="00C71F6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71F6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C71F6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C71F62"/>
    <w:pPr>
      <w:spacing w:line="360" w:lineRule="auto"/>
    </w:pPr>
    <w:rPr>
      <w:rFonts w:ascii="宋体" w:eastAsia="宋体" w:cs="宋体"/>
      <w:b/>
      <w:sz w:val="21"/>
    </w:rPr>
  </w:style>
  <w:style w:type="paragraph" w:styleId="20">
    <w:name w:val="toc 2"/>
    <w:basedOn w:val="a"/>
    <w:next w:val="a"/>
    <w:autoRedefine/>
    <w:rsid w:val="00C71F62"/>
    <w:pPr>
      <w:ind w:left="420"/>
    </w:pPr>
  </w:style>
  <w:style w:type="paragraph" w:styleId="30">
    <w:name w:val="toc 3"/>
    <w:basedOn w:val="a"/>
    <w:next w:val="a"/>
    <w:autoRedefine/>
    <w:rsid w:val="00C71F62"/>
    <w:pPr>
      <w:ind w:left="840"/>
    </w:pPr>
  </w:style>
  <w:style w:type="paragraph" w:styleId="4">
    <w:name w:val="toc 4"/>
    <w:basedOn w:val="a"/>
    <w:next w:val="a"/>
    <w:autoRedefine/>
    <w:rsid w:val="00C71F62"/>
    <w:pPr>
      <w:ind w:left="1260"/>
    </w:pPr>
  </w:style>
  <w:style w:type="paragraph" w:styleId="5">
    <w:name w:val="toc 5"/>
    <w:basedOn w:val="a"/>
    <w:next w:val="a"/>
    <w:autoRedefine/>
    <w:rsid w:val="00C71F62"/>
    <w:pPr>
      <w:ind w:left="1680"/>
    </w:pPr>
  </w:style>
  <w:style w:type="paragraph" w:styleId="a3">
    <w:name w:val="header"/>
    <w:basedOn w:val="a"/>
    <w:rsid w:val="00C71F62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C71F62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E466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66CA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2024-04-11T16:01:00Z</dcterms:created>
  <dcterms:modified xsi:type="dcterms:W3CDTF">2024-04-11T16:01:00Z</dcterms:modified>
</cp:coreProperties>
</file>