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51" w:rsidRDefault="00875A51" w:rsidP="00875A51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关于</w:t>
      </w:r>
      <w:r w:rsidR="00256D32" w:rsidRPr="00256D32">
        <w:rPr>
          <w:rFonts w:hint="eastAsia"/>
          <w:b/>
          <w:sz w:val="32"/>
        </w:rPr>
        <w:t>平安中债</w:t>
      </w:r>
      <w:r w:rsidR="00256D32" w:rsidRPr="00256D32">
        <w:rPr>
          <w:b/>
          <w:sz w:val="32"/>
        </w:rPr>
        <w:t>-0-3年国开行债券交易型开放式指数证券</w:t>
      </w:r>
    </w:p>
    <w:p w:rsidR="00256D32" w:rsidRPr="00271249" w:rsidRDefault="00256D32" w:rsidP="00875A51">
      <w:pPr>
        <w:spacing w:line="360" w:lineRule="auto"/>
        <w:jc w:val="center"/>
        <w:rPr>
          <w:b/>
          <w:sz w:val="32"/>
        </w:rPr>
      </w:pPr>
      <w:r w:rsidRPr="00256D32">
        <w:rPr>
          <w:b/>
          <w:sz w:val="32"/>
        </w:rPr>
        <w:t>投资基金</w:t>
      </w:r>
      <w:r w:rsidR="00875A51" w:rsidRPr="00875A51">
        <w:rPr>
          <w:rFonts w:hint="eastAsia"/>
          <w:b/>
          <w:sz w:val="32"/>
        </w:rPr>
        <w:t>计算并发布基金份额参考净值（</w:t>
      </w:r>
      <w:r w:rsidR="00875A51" w:rsidRPr="00875A51">
        <w:rPr>
          <w:b/>
          <w:sz w:val="32"/>
        </w:rPr>
        <w:t>IOPV）</w:t>
      </w:r>
      <w:r w:rsidRPr="00256D32">
        <w:rPr>
          <w:b/>
          <w:sz w:val="32"/>
        </w:rPr>
        <w:t>的公告</w:t>
      </w:r>
    </w:p>
    <w:p w:rsidR="00256D32" w:rsidRDefault="00256D32" w:rsidP="00256D32">
      <w:pPr>
        <w:spacing w:line="360" w:lineRule="auto"/>
      </w:pPr>
    </w:p>
    <w:p w:rsidR="00875A51" w:rsidRDefault="00027EB5" w:rsidP="00027EB5">
      <w:pPr>
        <w:spacing w:line="360" w:lineRule="auto"/>
        <w:ind w:firstLineChars="201" w:firstLine="422"/>
      </w:pPr>
      <w:r w:rsidRPr="00027EB5">
        <w:rPr>
          <w:rFonts w:hint="eastAsia"/>
        </w:rPr>
        <w:t>平安中债</w:t>
      </w:r>
      <w:r w:rsidRPr="00027EB5">
        <w:t>-0-3年国开行债券交易型开放式指数证券投资基金</w:t>
      </w:r>
      <w:r w:rsidR="00875A51">
        <w:rPr>
          <w:rFonts w:hint="eastAsia"/>
        </w:rPr>
        <w:t>（</w:t>
      </w:r>
      <w:r w:rsidR="00875A51" w:rsidRPr="00875A51">
        <w:rPr>
          <w:rFonts w:hint="eastAsia"/>
        </w:rPr>
        <w:t>以下简称“本基金”，场内简称：国开债券</w:t>
      </w:r>
      <w:r w:rsidR="00875A51" w:rsidRPr="00875A51">
        <w:t>ETF，基金代码：159651</w:t>
      </w:r>
      <w:r w:rsidR="00875A51">
        <w:rPr>
          <w:rFonts w:hint="eastAsia"/>
        </w:rPr>
        <w:t>）</w:t>
      </w:r>
      <w:r w:rsidR="00875A51" w:rsidRPr="00875A51">
        <w:t>于2022年11月16日开始在深圳证券交易所上市交易。根据本基金基金合同、招募说明书等有关规定，</w:t>
      </w:r>
      <w:r w:rsidR="006C33B5">
        <w:rPr>
          <w:rFonts w:hint="eastAsia"/>
        </w:rPr>
        <w:t>平安</w:t>
      </w:r>
      <w:r w:rsidR="00875A51" w:rsidRPr="00875A51">
        <w:t>基金管理有限公司（以下简称“本公司”）决定自202</w:t>
      </w:r>
      <w:r w:rsidR="006C33B5">
        <w:t>4</w:t>
      </w:r>
      <w:r w:rsidR="00875A51" w:rsidRPr="00875A51">
        <w:t>年</w:t>
      </w:r>
      <w:r w:rsidR="003E3FF3">
        <w:t>4</w:t>
      </w:r>
      <w:r w:rsidR="00875A51" w:rsidRPr="00875A51">
        <w:t>月</w:t>
      </w:r>
      <w:r w:rsidR="003E3FF3">
        <w:t>15</w:t>
      </w:r>
      <w:r w:rsidR="00875A51" w:rsidRPr="00875A51">
        <w:t>日起计算并发布本基金基金份额参考净值（IOPV），具体如下：</w:t>
      </w:r>
    </w:p>
    <w:p w:rsidR="00F36CC4" w:rsidRPr="006C33B5" w:rsidRDefault="00F36CC4" w:rsidP="00F36CC4">
      <w:pPr>
        <w:spacing w:line="360" w:lineRule="auto"/>
        <w:ind w:firstLineChars="201" w:firstLine="422"/>
        <w:rPr>
          <w:b/>
        </w:rPr>
      </w:pPr>
      <w:r w:rsidRPr="006C33B5">
        <w:rPr>
          <w:rFonts w:hint="eastAsia"/>
          <w:b/>
        </w:rPr>
        <w:t>一、</w:t>
      </w:r>
      <w:r w:rsidR="00982E82">
        <w:rPr>
          <w:rFonts w:hint="eastAsia"/>
          <w:b/>
        </w:rPr>
        <w:t>T日</w:t>
      </w:r>
      <w:r w:rsidR="006C33B5" w:rsidRPr="006C33B5">
        <w:rPr>
          <w:rFonts w:hint="eastAsia"/>
          <w:b/>
        </w:rPr>
        <w:t>基金份额参考净值（</w:t>
      </w:r>
      <w:r w:rsidR="006C33B5" w:rsidRPr="006C33B5">
        <w:rPr>
          <w:b/>
        </w:rPr>
        <w:t>IOPV）计算公式</w:t>
      </w:r>
    </w:p>
    <w:p w:rsidR="007E778C" w:rsidRPr="007E778C" w:rsidRDefault="007E778C" w:rsidP="00F36CC4">
      <w:pPr>
        <w:spacing w:line="360" w:lineRule="auto"/>
        <w:ind w:firstLineChars="201" w:firstLine="603"/>
      </w:pPr>
      <m:oMathPara>
        <m:oMath>
          <m:r>
            <m:rPr>
              <m:sty m:val="p"/>
            </m:rPr>
            <w:rPr>
              <w:rFonts w:ascii="Cambria Math" w:eastAsia="仿宋_GB2312" w:hAnsi="Cambria Math" w:cs="Times New Roman"/>
              <w:sz w:val="30"/>
              <w:szCs w:val="30"/>
            </w:rPr>
            <m:t>IOPV=</m:t>
          </m:r>
          <m:d>
            <m:dPr>
              <m:begChr m:val="{"/>
              <m:endChr m:val="}"/>
              <m:ctrlPr>
                <w:rPr>
                  <w:rFonts w:ascii="Cambria Math" w:eastAsia="仿宋_GB2312" w:hAnsi="Cambria Math" w:cs="Times New Roman"/>
                  <w:sz w:val="30"/>
                  <w:szCs w:val="30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="仿宋_GB2312" w:hAnsi="Cambria Math" w:cs="Times New Roman"/>
                      <w:sz w:val="30"/>
                      <w:szCs w:val="30"/>
                    </w:rPr>
                  </m:ctrlPr>
                </m:naryPr>
                <m:sub>
                  <m:r>
                    <w:rPr>
                      <w:rFonts w:ascii="Cambria Math" w:eastAsia="仿宋_GB2312" w:hAnsi="Cambria Math" w:cs="Times New Roman"/>
                      <w:sz w:val="30"/>
                      <w:szCs w:val="30"/>
                    </w:rPr>
                    <m:t>i=1</m:t>
                  </m:r>
                </m:sub>
                <m:sup>
                  <m:r>
                    <w:rPr>
                      <w:rFonts w:ascii="Cambria Math" w:eastAsia="仿宋_GB2312" w:hAnsi="Cambria Math" w:cs="Times New Roman"/>
                      <w:sz w:val="30"/>
                      <w:szCs w:val="30"/>
                    </w:rPr>
                    <m:t>n</m:t>
                  </m:r>
                </m:sup>
                <m:e>
                  <m:r>
                    <w:rPr>
                      <w:rFonts w:ascii="Cambria Math" w:eastAsia="仿宋_GB2312" w:hAnsi="Cambria Math" w:cs="Times New Roman"/>
                      <w:sz w:val="30"/>
                      <w:szCs w:val="30"/>
                    </w:rPr>
                    <m:t>[(</m:t>
                  </m:r>
                  <m:sSub>
                    <m:sSubPr>
                      <m:ctrlPr>
                        <w:rPr>
                          <w:rFonts w:ascii="Cambria Math" w:eastAsia="仿宋_GB2312" w:hAnsi="Cambria Math" w:cs="Times New Roman"/>
                          <w:iCs/>
                          <w:sz w:val="30"/>
                          <w:szCs w:val="3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仿宋_GB2312" w:hAnsi="Cambria Math" w:cs="Times New Roman"/>
                          <w:sz w:val="30"/>
                          <w:szCs w:val="30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仿宋_GB2312" w:hAnsi="Cambria Math" w:cs="Times New Roman"/>
                          <w:sz w:val="30"/>
                          <w:szCs w:val="30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仿宋_GB2312" w:hAnsi="Cambria Math" w:cs="Times New Roman"/>
                      <w:sz w:val="30"/>
                      <w:szCs w:val="30"/>
                    </w:rPr>
                    <m:t>+A</m:t>
                  </m:r>
                  <m:sSub>
                    <m:sSubPr>
                      <m:ctrlPr>
                        <w:rPr>
                          <w:rFonts w:ascii="Cambria Math" w:eastAsia="仿宋_GB2312" w:hAnsi="Cambria Math" w:cs="Times New Roman"/>
                          <w:iCs/>
                          <w:sz w:val="30"/>
                          <w:szCs w:val="3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仿宋_GB2312" w:hAnsi="Cambria Math" w:cs="Times New Roman"/>
                          <w:sz w:val="30"/>
                          <w:szCs w:val="30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仿宋_GB2312" w:hAnsi="Cambria Math" w:cs="Times New Roman"/>
                          <w:sz w:val="30"/>
                          <w:szCs w:val="30"/>
                        </w:rPr>
                        <m:t>i</m:t>
                      </m:r>
                    </m:sub>
                  </m:sSub>
                  <m:r>
                    <w:rPr>
                      <w:rFonts w:ascii="Cambria Math" w:eastAsia="仿宋_GB2312" w:hAnsi="Cambria Math" w:cs="Times New Roman"/>
                      <w:sz w:val="30"/>
                      <w:szCs w:val="30"/>
                    </w:rPr>
                    <m:t>)</m:t>
                  </m:r>
                </m:e>
              </m:nary>
              <m:r>
                <w:rPr>
                  <w:rFonts w:ascii="Cambria Math" w:eastAsia="MS Gothic" w:hAnsi="Cambria Math" w:cs="Times New Roman"/>
                  <w:sz w:val="30"/>
                  <w:szCs w:val="30"/>
                </w:rPr>
                <m:t>*</m:t>
              </m:r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30"/>
                  <w:szCs w:val="30"/>
                </w:rPr>
                <m:t>Share</m:t>
              </m:r>
              <m:sSub>
                <m:sSubPr>
                  <m:ctrlPr>
                    <w:rPr>
                      <w:rFonts w:ascii="Cambria Math" w:eastAsia="仿宋_GB2312" w:hAnsi="Cambria Math" w:cs="Times New Roman"/>
                      <w:sz w:val="30"/>
                      <w:szCs w:val="3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仿宋_GB2312" w:hAnsi="Cambria Math" w:cs="Times New Roman"/>
                      <w:sz w:val="30"/>
                      <w:szCs w:val="30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仿宋_GB2312" w:hAnsi="Cambria Math" w:cs="Times New Roman"/>
                      <w:sz w:val="30"/>
                      <w:szCs w:val="30"/>
                    </w:rPr>
                    <m:t>i</m:t>
                  </m:r>
                </m:sub>
              </m:sSub>
              <m:r>
                <w:rPr>
                  <w:rFonts w:ascii="Cambria Math" w:eastAsia="仿宋_GB2312" w:hAnsi="Cambria Math" w:cs="Times New Roman"/>
                  <w:sz w:val="30"/>
                  <w:szCs w:val="30"/>
                </w:rPr>
                <m:t>]+</m:t>
              </m:r>
              <m:r>
                <m:rPr>
                  <m:sty m:val="p"/>
                </m:rPr>
                <w:rPr>
                  <w:rFonts w:ascii="Cambria Math" w:eastAsia="仿宋_GB2312" w:hAnsi="Cambria Math" w:cs="Times New Roman"/>
                  <w:sz w:val="30"/>
                  <w:szCs w:val="30"/>
                </w:rPr>
                <m:t>ECC</m:t>
              </m:r>
            </m:e>
          </m:d>
          <m:r>
            <w:rPr>
              <w:rFonts w:ascii="Cambria Math" w:eastAsia="仿宋_GB2312" w:hAnsi="Cambria Math" w:cs="Times New Roman"/>
              <w:sz w:val="30"/>
              <w:szCs w:val="30"/>
            </w:rPr>
            <m:t xml:space="preserve"> / </m:t>
          </m:r>
          <m:r>
            <m:rPr>
              <m:sty m:val="p"/>
            </m:rPr>
            <w:rPr>
              <w:rFonts w:ascii="Cambria Math" w:eastAsia="仿宋_GB2312" w:hAnsi="Cambria Math" w:cs="Times New Roman"/>
              <w:sz w:val="30"/>
              <w:szCs w:val="30"/>
            </w:rPr>
            <m:t>CU</m:t>
          </m:r>
        </m:oMath>
      </m:oMathPara>
    </w:p>
    <w:p w:rsidR="006C33B5" w:rsidRDefault="008B6606" w:rsidP="00F36CC4">
      <w:pPr>
        <w:spacing w:line="360" w:lineRule="auto"/>
        <w:ind w:firstLineChars="201" w:firstLine="422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</w:rPr>
              <m:t>i</m:t>
            </m:r>
          </m:sub>
        </m:sSub>
      </m:oMath>
      <w:r w:rsidR="0034794D">
        <w:rPr>
          <w:rFonts w:hint="eastAsia"/>
        </w:rPr>
        <w:t>：T日申购赎回清单中第i只成份券的</w:t>
      </w:r>
      <w:r w:rsidR="003E3FF3">
        <w:rPr>
          <w:rFonts w:hint="eastAsia"/>
        </w:rPr>
        <w:t>实时</w:t>
      </w:r>
      <w:r w:rsidR="007C6FD5">
        <w:rPr>
          <w:rFonts w:hint="eastAsia"/>
        </w:rPr>
        <w:t>估算</w:t>
      </w:r>
      <w:r w:rsidR="0034794D">
        <w:rPr>
          <w:rFonts w:hint="eastAsia"/>
        </w:rPr>
        <w:t>净价</w:t>
      </w:r>
    </w:p>
    <w:p w:rsidR="0034794D" w:rsidRDefault="008B6606" w:rsidP="0034794D">
      <w:pPr>
        <w:spacing w:line="360" w:lineRule="auto"/>
        <w:ind w:firstLineChars="201" w:firstLine="422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AI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</w:rPr>
              <m:t>i</m:t>
            </m:r>
          </m:sub>
        </m:sSub>
      </m:oMath>
      <w:r w:rsidR="0034794D">
        <w:rPr>
          <w:rFonts w:hint="eastAsia"/>
        </w:rPr>
        <w:t>：T日申购赎回清单中第i只成份券的</w:t>
      </w:r>
      <w:r w:rsidR="003E3FF3">
        <w:rPr>
          <w:rFonts w:hint="eastAsia"/>
        </w:rPr>
        <w:t>日终</w:t>
      </w:r>
      <w:r w:rsidR="0034794D">
        <w:rPr>
          <w:rFonts w:hint="eastAsia"/>
        </w:rPr>
        <w:t>应计利息</w:t>
      </w:r>
    </w:p>
    <w:p w:rsidR="0034794D" w:rsidRDefault="008B6606" w:rsidP="0034794D">
      <w:pPr>
        <w:spacing w:line="360" w:lineRule="auto"/>
        <w:ind w:firstLineChars="201" w:firstLine="422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S</m:t>
            </m:r>
            <m:r>
              <m:rPr>
                <m:sty m:val="p"/>
              </m:rPr>
              <w:rPr>
                <w:rFonts w:ascii="Cambria Math" w:eastAsia="MS Gothic" w:hAnsi="Cambria Math" w:cs="MS Gothic" w:hint="eastAsia"/>
              </w:rPr>
              <m:t>h</m:t>
            </m:r>
            <m:r>
              <m:rPr>
                <m:sty m:val="p"/>
              </m:rPr>
              <w:rPr>
                <w:rFonts w:ascii="Cambria Math" w:hAnsi="Cambria Math" w:hint="eastAsia"/>
              </w:rPr>
              <m:t>ares</m:t>
            </m:r>
          </m:e>
          <m:sub>
            <m:r>
              <m:rPr>
                <m:sty m:val="p"/>
              </m:rPr>
              <w:rPr>
                <w:rFonts w:ascii="Cambria Math" w:hAnsi="Cambria Math" w:hint="eastAsia"/>
              </w:rPr>
              <m:t>i</m:t>
            </m:r>
          </m:sub>
        </m:sSub>
      </m:oMath>
      <w:r w:rsidR="0034794D">
        <w:rPr>
          <w:rFonts w:hint="eastAsia"/>
        </w:rPr>
        <w:t>：</w:t>
      </w:r>
      <w:r w:rsidR="00BA63A8">
        <w:rPr>
          <w:rFonts w:hint="eastAsia"/>
        </w:rPr>
        <w:t>根据</w:t>
      </w:r>
      <w:r w:rsidR="0034794D">
        <w:rPr>
          <w:rFonts w:hint="eastAsia"/>
        </w:rPr>
        <w:t>T日申购赎回清单</w:t>
      </w:r>
      <w:r w:rsidR="00BA63A8">
        <w:rPr>
          <w:rFonts w:hint="eastAsia"/>
        </w:rPr>
        <w:t>计算的</w:t>
      </w:r>
      <w:r w:rsidR="0034794D">
        <w:rPr>
          <w:rFonts w:hint="eastAsia"/>
        </w:rPr>
        <w:t>第i只成份券的数量（</w:t>
      </w:r>
      <w:r w:rsidR="008E131C" w:rsidRPr="008E131C">
        <w:rPr>
          <w:rFonts w:hint="eastAsia"/>
        </w:rPr>
        <w:t>证券数量单位：张</w:t>
      </w:r>
      <w:r w:rsidR="0034794D">
        <w:rPr>
          <w:rFonts w:hint="eastAsia"/>
        </w:rPr>
        <w:t>）</w:t>
      </w:r>
    </w:p>
    <w:p w:rsidR="0034794D" w:rsidRPr="0034794D" w:rsidRDefault="0034794D" w:rsidP="0034794D">
      <w:pPr>
        <w:spacing w:line="360" w:lineRule="auto"/>
        <w:ind w:firstLineChars="201" w:firstLine="422"/>
      </w:pPr>
      <w:r>
        <w:rPr>
          <w:rFonts w:hint="eastAsia"/>
        </w:rPr>
        <w:t>E</w:t>
      </w:r>
      <w:r>
        <w:t>CC</w:t>
      </w:r>
      <w:r>
        <w:rPr>
          <w:rFonts w:hint="eastAsia"/>
        </w:rPr>
        <w:t>：T日申购赎回清单中的预估现金部分</w:t>
      </w:r>
    </w:p>
    <w:p w:rsidR="0034794D" w:rsidRPr="0034794D" w:rsidRDefault="0034794D" w:rsidP="00F36CC4">
      <w:pPr>
        <w:spacing w:line="360" w:lineRule="auto"/>
        <w:ind w:firstLineChars="201" w:firstLine="422"/>
      </w:pPr>
      <w:r>
        <w:rPr>
          <w:rFonts w:hint="eastAsia"/>
        </w:rPr>
        <w:t>C</w:t>
      </w:r>
      <w:r>
        <w:t>U</w:t>
      </w:r>
      <w:r>
        <w:rPr>
          <w:rFonts w:hint="eastAsia"/>
        </w:rPr>
        <w:t>：最小申购</w:t>
      </w:r>
      <w:r w:rsidR="00BA63A8">
        <w:rPr>
          <w:rFonts w:hint="eastAsia"/>
        </w:rPr>
        <w:t>、</w:t>
      </w:r>
      <w:r>
        <w:rPr>
          <w:rFonts w:hint="eastAsia"/>
        </w:rPr>
        <w:t>赎回单位</w:t>
      </w:r>
      <w:r w:rsidR="008E131C" w:rsidRPr="008E131C">
        <w:rPr>
          <w:rFonts w:hint="eastAsia"/>
        </w:rPr>
        <w:t>（单位：份）</w:t>
      </w:r>
    </w:p>
    <w:p w:rsidR="00027EB5" w:rsidRPr="006C33B5" w:rsidRDefault="00A26C9D" w:rsidP="00027EB5">
      <w:pPr>
        <w:spacing w:line="360" w:lineRule="auto"/>
        <w:ind w:firstLineChars="201" w:firstLine="422"/>
        <w:rPr>
          <w:b/>
        </w:rPr>
      </w:pPr>
      <w:r w:rsidRPr="006C33B5">
        <w:rPr>
          <w:rFonts w:hint="eastAsia"/>
          <w:b/>
        </w:rPr>
        <w:t>二</w:t>
      </w:r>
      <w:r w:rsidR="00027EB5" w:rsidRPr="006C33B5">
        <w:rPr>
          <w:rFonts w:hint="eastAsia"/>
          <w:b/>
        </w:rPr>
        <w:t>、重要提示</w:t>
      </w:r>
    </w:p>
    <w:p w:rsidR="001C7058" w:rsidRDefault="001C7058" w:rsidP="001C7058">
      <w:pPr>
        <w:spacing w:line="360" w:lineRule="auto"/>
        <w:ind w:firstLineChars="201" w:firstLine="422"/>
      </w:pPr>
      <w:r>
        <w:rPr>
          <w:rFonts w:hint="eastAsia"/>
        </w:rPr>
        <w:t>1、本基金基金份额净值按照基金持仓标的对应估值方法进行估值，而本基金</w:t>
      </w:r>
      <w:r>
        <w:t>IOPV则是由其他机构按照PCF清单公布的成分券的实时估值价格进行计算发布，是作为基金份额参考净值</w:t>
      </w:r>
      <w:r>
        <w:rPr>
          <w:rFonts w:hint="eastAsia"/>
        </w:rPr>
        <w:t>，</w:t>
      </w:r>
      <w:r>
        <w:t>IOPV与实时的基金份额净值可能存在差异，IOPV计算还可能出现错误，投资者若参考IOPV进行投资决策可能导致损失，需投资者自行承担，敬请投资者关注。</w:t>
      </w:r>
    </w:p>
    <w:p w:rsidR="00027EB5" w:rsidRDefault="006C33B5" w:rsidP="00027EB5">
      <w:pPr>
        <w:spacing w:line="360" w:lineRule="auto"/>
        <w:ind w:firstLineChars="201" w:firstLine="422"/>
      </w:pPr>
      <w:r>
        <w:rPr>
          <w:rFonts w:hint="eastAsia"/>
        </w:rPr>
        <w:t>2、</w:t>
      </w:r>
      <w:bookmarkStart w:id="0" w:name="_GoBack"/>
      <w:bookmarkEnd w:id="0"/>
      <w:r w:rsidRPr="006C33B5">
        <w:rPr>
          <w:rFonts w:hint="eastAsia"/>
        </w:rPr>
        <w:t>本公司承诺以诚实信用、勤勉尽责的原则管理和运用基金资产，但不保证基金一定</w:t>
      </w:r>
      <w:r w:rsidRPr="006C33B5">
        <w:rPr>
          <w:rFonts w:hint="eastAsia"/>
        </w:rPr>
        <w:lastRenderedPageBreak/>
        <w:t>盈利，也不保证最低收益。基金的过往业绩及其净值高低并不预示其未来业绩表现。本公司提醒投资者，投资者投资于基金前应认真阅读本基金的基金合同、招募说明书等文件。敬请投资者注意投资风险。</w:t>
      </w:r>
    </w:p>
    <w:p w:rsidR="00256D32" w:rsidRPr="000D296D" w:rsidRDefault="00256D32" w:rsidP="00256D32">
      <w:pPr>
        <w:spacing w:line="360" w:lineRule="auto"/>
        <w:ind w:firstLineChars="201" w:firstLine="422"/>
      </w:pPr>
      <w:r w:rsidRPr="000D296D">
        <w:rPr>
          <w:rFonts w:hint="eastAsia"/>
        </w:rPr>
        <w:t>特此公告</w:t>
      </w:r>
      <w:r>
        <w:rPr>
          <w:rFonts w:hint="eastAsia"/>
        </w:rPr>
        <w:t>。</w:t>
      </w:r>
    </w:p>
    <w:p w:rsidR="00572096" w:rsidRDefault="00027EB5" w:rsidP="00027EB5">
      <w:pPr>
        <w:spacing w:line="360" w:lineRule="auto"/>
        <w:ind w:firstLineChars="201" w:firstLine="422"/>
        <w:jc w:val="right"/>
      </w:pPr>
      <w:r>
        <w:rPr>
          <w:rFonts w:hint="eastAsia"/>
        </w:rPr>
        <w:t>平安基金管理有限公司</w:t>
      </w:r>
    </w:p>
    <w:p w:rsidR="00027EB5" w:rsidRDefault="00027EB5" w:rsidP="00027EB5">
      <w:pPr>
        <w:spacing w:line="360" w:lineRule="auto"/>
        <w:ind w:firstLineChars="201" w:firstLine="422"/>
        <w:jc w:val="right"/>
      </w:pPr>
      <w:r>
        <w:rPr>
          <w:rFonts w:hint="eastAsia"/>
        </w:rPr>
        <w:t>2</w:t>
      </w:r>
      <w:r>
        <w:t>02</w:t>
      </w:r>
      <w:r w:rsidR="006C33B5">
        <w:t>4</w:t>
      </w:r>
      <w:r>
        <w:rPr>
          <w:rFonts w:hint="eastAsia"/>
        </w:rPr>
        <w:t>年</w:t>
      </w:r>
      <w:r w:rsidR="003E3FF3">
        <w:t>4</w:t>
      </w:r>
      <w:r w:rsidR="00CC6374">
        <w:rPr>
          <w:rFonts w:hint="eastAsia"/>
        </w:rPr>
        <w:t>月</w:t>
      </w:r>
      <w:r w:rsidR="00CC6374">
        <w:t>12</w:t>
      </w:r>
      <w:r>
        <w:rPr>
          <w:rFonts w:hint="eastAsia"/>
        </w:rPr>
        <w:t>日</w:t>
      </w:r>
    </w:p>
    <w:sectPr w:rsidR="00027EB5" w:rsidSect="008B6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CAC" w:rsidRDefault="00827CAC" w:rsidP="00256D32">
      <w:r>
        <w:separator/>
      </w:r>
    </w:p>
  </w:endnote>
  <w:endnote w:type="continuationSeparator" w:id="0">
    <w:p w:rsidR="00827CAC" w:rsidRDefault="00827CAC" w:rsidP="00256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CAC" w:rsidRDefault="00827CAC" w:rsidP="00256D32">
      <w:r>
        <w:separator/>
      </w:r>
    </w:p>
  </w:footnote>
  <w:footnote w:type="continuationSeparator" w:id="0">
    <w:p w:rsidR="00827CAC" w:rsidRDefault="00827CAC" w:rsidP="00256D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972"/>
    <w:rsid w:val="00027EB5"/>
    <w:rsid w:val="00125E45"/>
    <w:rsid w:val="00127880"/>
    <w:rsid w:val="00162F0A"/>
    <w:rsid w:val="001811FD"/>
    <w:rsid w:val="001C7058"/>
    <w:rsid w:val="00256D32"/>
    <w:rsid w:val="002D25BB"/>
    <w:rsid w:val="0034794D"/>
    <w:rsid w:val="00391378"/>
    <w:rsid w:val="003E3FF3"/>
    <w:rsid w:val="003E78F9"/>
    <w:rsid w:val="004704FE"/>
    <w:rsid w:val="00473CA5"/>
    <w:rsid w:val="00506AC1"/>
    <w:rsid w:val="00566332"/>
    <w:rsid w:val="00572096"/>
    <w:rsid w:val="005B5972"/>
    <w:rsid w:val="005C6E78"/>
    <w:rsid w:val="005F024C"/>
    <w:rsid w:val="00640983"/>
    <w:rsid w:val="006A536F"/>
    <w:rsid w:val="006B4C34"/>
    <w:rsid w:val="006B6393"/>
    <w:rsid w:val="006C33B5"/>
    <w:rsid w:val="00705851"/>
    <w:rsid w:val="007C6FD5"/>
    <w:rsid w:val="007E778C"/>
    <w:rsid w:val="00827CAC"/>
    <w:rsid w:val="00833214"/>
    <w:rsid w:val="00871962"/>
    <w:rsid w:val="00875A51"/>
    <w:rsid w:val="00882872"/>
    <w:rsid w:val="008B6606"/>
    <w:rsid w:val="008E131C"/>
    <w:rsid w:val="008F252D"/>
    <w:rsid w:val="00982E82"/>
    <w:rsid w:val="009F12BD"/>
    <w:rsid w:val="00A26C9D"/>
    <w:rsid w:val="00A76535"/>
    <w:rsid w:val="00AB4407"/>
    <w:rsid w:val="00AE2BD1"/>
    <w:rsid w:val="00AF73C5"/>
    <w:rsid w:val="00B10968"/>
    <w:rsid w:val="00B82951"/>
    <w:rsid w:val="00BA24EF"/>
    <w:rsid w:val="00BA63A8"/>
    <w:rsid w:val="00C7272F"/>
    <w:rsid w:val="00CC6374"/>
    <w:rsid w:val="00E62C5D"/>
    <w:rsid w:val="00EE1C0C"/>
    <w:rsid w:val="00EF2B74"/>
    <w:rsid w:val="00F315F9"/>
    <w:rsid w:val="00F36CC4"/>
    <w:rsid w:val="00F82AED"/>
    <w:rsid w:val="00FA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60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720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20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7209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720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57209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720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256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6D3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56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56D32"/>
    <w:rPr>
      <w:sz w:val="18"/>
      <w:szCs w:val="18"/>
    </w:rPr>
  </w:style>
  <w:style w:type="character" w:styleId="a6">
    <w:name w:val="Placeholder Text"/>
    <w:basedOn w:val="a0"/>
    <w:uiPriority w:val="99"/>
    <w:semiHidden/>
    <w:rsid w:val="0034794D"/>
    <w:rPr>
      <w:color w:val="808080"/>
    </w:rPr>
  </w:style>
  <w:style w:type="paragraph" w:styleId="a7">
    <w:name w:val="Balloon Text"/>
    <w:basedOn w:val="a"/>
    <w:link w:val="Char2"/>
    <w:uiPriority w:val="99"/>
    <w:semiHidden/>
    <w:unhideWhenUsed/>
    <w:rsid w:val="001C705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C70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4</DocSecurity>
  <Lines>5</Lines>
  <Paragraphs>1</Paragraphs>
  <ScaleCrop>false</ScaleCrop>
  <Company>PAIG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方超</dc:creator>
  <cp:keywords/>
  <dc:description/>
  <cp:lastModifiedBy>ZHONGM</cp:lastModifiedBy>
  <cp:revision>2</cp:revision>
  <dcterms:created xsi:type="dcterms:W3CDTF">2024-04-11T16:00:00Z</dcterms:created>
  <dcterms:modified xsi:type="dcterms:W3CDTF">2024-04-11T16:00:00Z</dcterms:modified>
</cp:coreProperties>
</file>