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B0" w:rsidRPr="00923A86" w:rsidRDefault="00754489" w:rsidP="00320BCD">
      <w:pPr>
        <w:widowControl/>
        <w:spacing w:beforeLines="100" w:afterLines="100" w:line="600" w:lineRule="atLeast"/>
        <w:jc w:val="center"/>
        <w:outlineLvl w:val="1"/>
        <w:rPr>
          <w:rFonts w:ascii="仿宋" w:eastAsia="仿宋" w:hAnsi="仿宋" w:cs="宋体"/>
          <w:b/>
          <w:bCs/>
          <w:color w:val="333333"/>
          <w:kern w:val="0"/>
          <w:sz w:val="34"/>
          <w:szCs w:val="34"/>
        </w:rPr>
      </w:pPr>
      <w:r w:rsidRPr="00923A86">
        <w:rPr>
          <w:rFonts w:ascii="仿宋" w:eastAsia="仿宋" w:hAnsi="仿宋" w:cs="宋体" w:hint="eastAsia"/>
          <w:b/>
          <w:bCs/>
          <w:color w:val="333333"/>
          <w:kern w:val="0"/>
          <w:sz w:val="34"/>
          <w:szCs w:val="34"/>
        </w:rPr>
        <w:t>宝盈基金管理有限公司</w:t>
      </w:r>
      <w:r w:rsidR="006A39B0" w:rsidRPr="00923A86">
        <w:rPr>
          <w:rFonts w:ascii="仿宋" w:eastAsia="仿宋" w:hAnsi="仿宋" w:cs="宋体" w:hint="eastAsia"/>
          <w:b/>
          <w:bCs/>
          <w:color w:val="333333"/>
          <w:kern w:val="0"/>
          <w:sz w:val="34"/>
          <w:szCs w:val="34"/>
        </w:rPr>
        <w:t>关于聘任基金经理助理的公告</w:t>
      </w:r>
    </w:p>
    <w:p w:rsidR="004E2AD0" w:rsidRPr="004E2AD0" w:rsidRDefault="006A39B0" w:rsidP="009F07DF">
      <w:pPr>
        <w:widowControl/>
        <w:spacing w:after="150" w:line="540" w:lineRule="atLeast"/>
        <w:ind w:firstLine="480"/>
        <w:rPr>
          <w:rFonts w:ascii="仿宋" w:eastAsia="仿宋" w:hAnsi="仿宋" w:cs="宋体"/>
          <w:color w:val="4D4D4D"/>
          <w:kern w:val="0"/>
          <w:sz w:val="28"/>
          <w:szCs w:val="28"/>
        </w:rPr>
      </w:pPr>
      <w:r w:rsidRP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因工作需要，公司聘任</w:t>
      </w:r>
      <w:r w:rsidR="004E2AD0" w:rsidRP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阳之璇为</w:t>
      </w:r>
      <w:r w:rsidR="004E2AD0" w:rsidRPr="004E2AD0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宝盈国证证券龙头指数型发起式证券投资基金</w:t>
      </w:r>
      <w:r w:rsidR="004E2AD0" w:rsidRP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、</w:t>
      </w:r>
      <w:r w:rsidR="004E2AD0" w:rsidRPr="004E2AD0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宝盈中证沪港深科技龙头指数型发起式证券投资基金</w:t>
      </w:r>
      <w:r w:rsidR="004E2AD0" w:rsidRP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、</w:t>
      </w:r>
      <w:r w:rsidR="004E2AD0" w:rsidRPr="004E2AD0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宝盈纳斯达克100指数型发起式证券投资基金(QDII)</w:t>
      </w:r>
      <w:r w:rsidR="004E2AD0" w:rsidRP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的</w:t>
      </w:r>
      <w:r w:rsidR="004E2AD0" w:rsidRPr="004E2AD0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基金经理</w:t>
      </w:r>
      <w:r w:rsidR="004E2AD0" w:rsidRP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助理</w:t>
      </w:r>
      <w:r w:rsid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。</w:t>
      </w:r>
    </w:p>
    <w:p w:rsidR="006A39B0" w:rsidRPr="006A39B0" w:rsidRDefault="006A39B0" w:rsidP="006A39B0">
      <w:pPr>
        <w:widowControl/>
        <w:spacing w:before="150" w:after="150" w:line="540" w:lineRule="atLeast"/>
        <w:jc w:val="left"/>
        <w:rPr>
          <w:rFonts w:ascii="微软雅黑" w:eastAsia="微软雅黑" w:hAnsi="微软雅黑" w:cs="宋体"/>
          <w:color w:val="4D4D4D"/>
          <w:kern w:val="0"/>
          <w:sz w:val="24"/>
          <w:szCs w:val="24"/>
        </w:rPr>
      </w:pPr>
      <w:r w:rsidRPr="006A39B0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　　</w:t>
      </w:r>
      <w:r w:rsidRP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上述调整自公告之日起生效。</w:t>
      </w:r>
    </w:p>
    <w:p w:rsidR="006A39B0" w:rsidRPr="006A39B0" w:rsidRDefault="006A39B0" w:rsidP="006A39B0">
      <w:pPr>
        <w:widowControl/>
        <w:spacing w:before="150" w:after="150" w:line="540" w:lineRule="atLeast"/>
        <w:jc w:val="left"/>
        <w:rPr>
          <w:rFonts w:ascii="微软雅黑" w:eastAsia="微软雅黑" w:hAnsi="微软雅黑" w:cs="宋体"/>
          <w:color w:val="4D4D4D"/>
          <w:kern w:val="0"/>
          <w:sz w:val="24"/>
          <w:szCs w:val="24"/>
        </w:rPr>
      </w:pPr>
      <w:r w:rsidRPr="006A39B0">
        <w:rPr>
          <w:rFonts w:ascii="微软雅黑" w:eastAsia="微软雅黑" w:hAnsi="微软雅黑" w:cs="宋体" w:hint="eastAsia"/>
          <w:color w:val="4D4D4D"/>
          <w:kern w:val="0"/>
          <w:sz w:val="24"/>
          <w:szCs w:val="24"/>
        </w:rPr>
        <w:t xml:space="preserve">　</w:t>
      </w:r>
      <w:r w:rsidRPr="004E2AD0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 xml:space="preserve">　特此公告。</w:t>
      </w:r>
    </w:p>
    <w:p w:rsidR="006A39B0" w:rsidRPr="004E2AD0" w:rsidRDefault="004E2AD0" w:rsidP="004E2AD0">
      <w:pPr>
        <w:widowControl/>
        <w:spacing w:line="540" w:lineRule="atLeast"/>
        <w:jc w:val="right"/>
        <w:rPr>
          <w:rFonts w:ascii="仿宋" w:eastAsia="仿宋" w:hAnsi="仿宋" w:cs="宋体"/>
          <w:color w:val="4D4D4D"/>
          <w:kern w:val="0"/>
          <w:sz w:val="28"/>
          <w:szCs w:val="28"/>
        </w:rPr>
      </w:pPr>
      <w:r w:rsidRPr="004E2AD0">
        <w:rPr>
          <w:rFonts w:ascii="仿宋" w:eastAsia="仿宋" w:hAnsi="仿宋" w:cs="宋体" w:hint="eastAsia"/>
          <w:color w:val="4D4D4D"/>
          <w:kern w:val="0"/>
          <w:sz w:val="28"/>
          <w:szCs w:val="28"/>
        </w:rPr>
        <w:t xml:space="preserve">　　宝盈基金管理有限公司</w:t>
      </w:r>
    </w:p>
    <w:p w:rsidR="004E2AD0" w:rsidRDefault="004E2AD0" w:rsidP="004E2AD0">
      <w:pPr>
        <w:widowControl/>
        <w:spacing w:line="540" w:lineRule="atLeast"/>
        <w:ind w:firstLineChars="2100" w:firstLine="5880"/>
        <w:jc w:val="left"/>
        <w:rPr>
          <w:rFonts w:ascii="仿宋" w:eastAsia="仿宋" w:hAnsi="仿宋" w:cs="宋体"/>
          <w:color w:val="4D4D4D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D4D4D"/>
          <w:kern w:val="0"/>
          <w:sz w:val="28"/>
          <w:szCs w:val="28"/>
        </w:rPr>
        <w:t>2</w:t>
      </w:r>
      <w:r>
        <w:rPr>
          <w:rFonts w:ascii="仿宋" w:eastAsia="仿宋" w:hAnsi="仿宋" w:cs="宋体"/>
          <w:color w:val="4D4D4D"/>
          <w:kern w:val="0"/>
          <w:sz w:val="28"/>
          <w:szCs w:val="28"/>
        </w:rPr>
        <w:t>024年4月</w:t>
      </w:r>
      <w:r w:rsidR="00F214A2">
        <w:rPr>
          <w:rFonts w:ascii="仿宋" w:eastAsia="仿宋" w:hAnsi="仿宋" w:cs="宋体"/>
          <w:color w:val="4D4D4D"/>
          <w:kern w:val="0"/>
          <w:sz w:val="28"/>
          <w:szCs w:val="28"/>
        </w:rPr>
        <w:t>11</w:t>
      </w:r>
      <w:r>
        <w:rPr>
          <w:rFonts w:ascii="仿宋" w:eastAsia="仿宋" w:hAnsi="仿宋" w:cs="宋体"/>
          <w:color w:val="4D4D4D"/>
          <w:kern w:val="0"/>
          <w:sz w:val="28"/>
          <w:szCs w:val="28"/>
        </w:rPr>
        <w:t>日</w:t>
      </w:r>
    </w:p>
    <w:p w:rsidR="00B80927" w:rsidRDefault="00B80927" w:rsidP="004E2AD0">
      <w:pPr>
        <w:widowControl/>
        <w:spacing w:line="540" w:lineRule="atLeast"/>
        <w:ind w:firstLineChars="2100" w:firstLine="5880"/>
        <w:jc w:val="left"/>
        <w:rPr>
          <w:rFonts w:ascii="仿宋" w:eastAsia="仿宋" w:hAnsi="仿宋" w:cs="宋体"/>
          <w:color w:val="4D4D4D"/>
          <w:kern w:val="0"/>
          <w:sz w:val="28"/>
          <w:szCs w:val="28"/>
        </w:rPr>
      </w:pPr>
      <w:bookmarkStart w:id="0" w:name="_GoBack"/>
      <w:bookmarkEnd w:id="0"/>
    </w:p>
    <w:p w:rsidR="00CC271E" w:rsidRPr="00B00216" w:rsidRDefault="00CC271E" w:rsidP="009F07DF">
      <w:pPr>
        <w:widowControl/>
        <w:spacing w:line="540" w:lineRule="atLeast"/>
        <w:jc w:val="left"/>
        <w:rPr>
          <w:rFonts w:ascii="仿宋" w:eastAsia="仿宋" w:hAnsi="仿宋" w:cs="Arial"/>
          <w:bCs/>
          <w:snapToGrid w:val="0"/>
          <w:kern w:val="0"/>
          <w:sz w:val="28"/>
          <w:szCs w:val="28"/>
        </w:rPr>
      </w:pPr>
    </w:p>
    <w:p w:rsidR="004E2AD0" w:rsidRPr="00B00216" w:rsidRDefault="006A39B0" w:rsidP="009F07DF">
      <w:pPr>
        <w:widowControl/>
        <w:spacing w:line="540" w:lineRule="atLeast"/>
        <w:jc w:val="left"/>
        <w:rPr>
          <w:rFonts w:ascii="仿宋" w:eastAsia="仿宋" w:hAnsi="仿宋" w:cs="Arial"/>
          <w:b/>
          <w:bCs/>
          <w:snapToGrid w:val="0"/>
          <w:kern w:val="0"/>
          <w:sz w:val="28"/>
          <w:szCs w:val="28"/>
        </w:rPr>
      </w:pPr>
      <w:r w:rsidRPr="00B00216">
        <w:rPr>
          <w:rFonts w:ascii="仿宋" w:eastAsia="仿宋" w:hAnsi="仿宋" w:cs="Arial" w:hint="eastAsia"/>
          <w:b/>
          <w:bCs/>
          <w:snapToGrid w:val="0"/>
          <w:kern w:val="0"/>
          <w:sz w:val="28"/>
          <w:szCs w:val="28"/>
        </w:rPr>
        <w:t>附：基金经理助理简历</w:t>
      </w:r>
    </w:p>
    <w:p w:rsidR="00B30D75" w:rsidRPr="00B00216" w:rsidRDefault="004E2AD0" w:rsidP="00CC271E">
      <w:pPr>
        <w:widowControl/>
        <w:spacing w:line="540" w:lineRule="atLeast"/>
        <w:ind w:firstLine="480"/>
        <w:rPr>
          <w:rFonts w:ascii="仿宋" w:eastAsia="仿宋" w:hAnsi="仿宋" w:cs="Arial"/>
          <w:bCs/>
          <w:snapToGrid w:val="0"/>
          <w:kern w:val="0"/>
          <w:sz w:val="28"/>
          <w:szCs w:val="28"/>
        </w:rPr>
      </w:pPr>
      <w:r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阳之璇</w:t>
      </w:r>
      <w:r w:rsidR="006A39B0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女士，</w:t>
      </w:r>
      <w:r w:rsidR="0088597C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约翰霍普金斯大学数学与统计学专业硕士</w:t>
      </w:r>
      <w:r w:rsidR="006A39B0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，</w:t>
      </w:r>
      <w:r w:rsidR="00B30D75" w:rsidRPr="00B00216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CFA</w:t>
      </w:r>
      <w:r w:rsidR="006A39B0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，</w:t>
      </w:r>
      <w:r w:rsidR="0088597C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具有</w:t>
      </w:r>
      <w:r w:rsidR="00B30D75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5</w:t>
      </w:r>
      <w:r w:rsidR="00B30D75" w:rsidRPr="00B00216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年证券从业经验</w:t>
      </w:r>
      <w:r w:rsidR="00B30D75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。</w:t>
      </w:r>
      <w:r w:rsidR="00B30D75" w:rsidRPr="00B00216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2018年</w:t>
      </w:r>
      <w:r w:rsidR="00B30D75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7月加入宝盈基金，</w:t>
      </w:r>
      <w:r w:rsidR="00EC13A8" w:rsidRPr="00B00216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在量化投资部先后任研究员助理、量化研究员</w:t>
      </w:r>
      <w:r w:rsidR="00B30D75" w:rsidRPr="00B00216">
        <w:rPr>
          <w:rFonts w:ascii="仿宋" w:eastAsia="仿宋" w:hAnsi="仿宋" w:cs="Arial" w:hint="eastAsia"/>
          <w:bCs/>
          <w:snapToGrid w:val="0"/>
          <w:kern w:val="0"/>
          <w:sz w:val="28"/>
          <w:szCs w:val="28"/>
        </w:rPr>
        <w:t>，</w:t>
      </w:r>
      <w:r w:rsidR="00B30D75" w:rsidRPr="00B00216">
        <w:rPr>
          <w:rFonts w:ascii="仿宋" w:eastAsia="仿宋" w:hAnsi="仿宋" w:cs="Arial"/>
          <w:bCs/>
          <w:snapToGrid w:val="0"/>
          <w:kern w:val="0"/>
          <w:sz w:val="28"/>
          <w:szCs w:val="28"/>
        </w:rPr>
        <w:t>现任本公司基金经理助理。</w:t>
      </w:r>
    </w:p>
    <w:sectPr w:rsidR="00B30D75" w:rsidRPr="00B00216" w:rsidSect="0070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34E" w:rsidRDefault="002B134E" w:rsidP="006A39B0">
      <w:r>
        <w:separator/>
      </w:r>
    </w:p>
  </w:endnote>
  <w:endnote w:type="continuationSeparator" w:id="0">
    <w:p w:rsidR="002B134E" w:rsidRDefault="002B134E" w:rsidP="006A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34E" w:rsidRDefault="002B134E" w:rsidP="006A39B0">
      <w:r>
        <w:separator/>
      </w:r>
    </w:p>
  </w:footnote>
  <w:footnote w:type="continuationSeparator" w:id="0">
    <w:p w:rsidR="002B134E" w:rsidRDefault="002B134E" w:rsidP="006A3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8C"/>
    <w:rsid w:val="00201269"/>
    <w:rsid w:val="00271B0C"/>
    <w:rsid w:val="002B134E"/>
    <w:rsid w:val="00320BCD"/>
    <w:rsid w:val="00457F63"/>
    <w:rsid w:val="004C1131"/>
    <w:rsid w:val="004E2AD0"/>
    <w:rsid w:val="006A39B0"/>
    <w:rsid w:val="00700CD3"/>
    <w:rsid w:val="00754489"/>
    <w:rsid w:val="00851323"/>
    <w:rsid w:val="0088597C"/>
    <w:rsid w:val="00923A86"/>
    <w:rsid w:val="009912CD"/>
    <w:rsid w:val="009F07DF"/>
    <w:rsid w:val="00B00216"/>
    <w:rsid w:val="00B30D75"/>
    <w:rsid w:val="00B80927"/>
    <w:rsid w:val="00CB389E"/>
    <w:rsid w:val="00CC271E"/>
    <w:rsid w:val="00D2244D"/>
    <w:rsid w:val="00EC13A8"/>
    <w:rsid w:val="00F214A2"/>
    <w:rsid w:val="00F501B4"/>
    <w:rsid w:val="00FB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D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A39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A39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9B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A39B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6A39B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6A39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A39B0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B8092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80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4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吕晓</dc:creator>
  <cp:keywords/>
  <dc:description/>
  <cp:lastModifiedBy>ZHONGM</cp:lastModifiedBy>
  <cp:revision>2</cp:revision>
  <dcterms:created xsi:type="dcterms:W3CDTF">2024-04-10T16:01:00Z</dcterms:created>
  <dcterms:modified xsi:type="dcterms:W3CDTF">2024-04-10T16:01:00Z</dcterms:modified>
</cp:coreProperties>
</file>