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E254F7" w:rsidP="00E254F7">
      <w:pPr>
        <w:pStyle w:val="XBRL2"/>
        <w:spacing w:before="156"/>
        <w:rPr>
          <w:lang w:eastAsia="zh-CN"/>
        </w:rPr>
      </w:pPr>
      <w:bookmarkStart w:id="0" w:name="_Toc510201001"/>
      <w:bookmarkEnd w:id="0"/>
      <w:r>
        <w:rPr>
          <w:rFonts w:hint="eastAsia"/>
          <w:lang w:eastAsia="zh-CN"/>
        </w:rPr>
        <w:t xml:space="preserve">　</w:t>
      </w:r>
      <w:r>
        <w:rPr>
          <w:lang w:eastAsia="zh-CN"/>
        </w:rPr>
        <w:t xml:space="preserve"> </w:t>
      </w:r>
    </w:p>
    <w:p w:rsidR="00000000" w:rsidRDefault="00E254F7">
      <w:pPr>
        <w:jc w:val="center"/>
      </w:pPr>
      <w:r>
        <w:rPr>
          <w:rFonts w:cs="Times New Roman" w:hint="eastAsia"/>
          <w:b/>
          <w:sz w:val="48"/>
          <w:szCs w:val="48"/>
        </w:rPr>
        <w:t>华泰柏瑞季季红债券型证券投资基金分红公</w:t>
      </w:r>
      <w:r>
        <w:rPr>
          <w:rFonts w:cs="Times New Roman" w:hint="eastAsia"/>
          <w:b/>
          <w:sz w:val="48"/>
          <w:szCs w:val="48"/>
        </w:rPr>
        <w:t>告</w:t>
      </w:r>
    </w:p>
    <w:p w:rsidR="00000000" w:rsidRDefault="00E254F7">
      <w:pPr>
        <w:spacing w:line="560" w:lineRule="exact"/>
        <w:jc w:val="center"/>
        <w:rPr>
          <w:rFonts w:hint="eastAsia"/>
          <w:color w:val="000000"/>
          <w:kern w:val="0"/>
          <w:sz w:val="18"/>
        </w:rPr>
      </w:pPr>
      <w:r>
        <w:rPr>
          <w:rFonts w:hint="eastAsia"/>
          <w:color w:val="000000"/>
          <w:kern w:val="0"/>
          <w:sz w:val="18"/>
        </w:rPr>
        <w:t xml:space="preserve">　</w:t>
      </w:r>
      <w:r>
        <w:rPr>
          <w:rFonts w:hint="eastAsia"/>
          <w:color w:val="000000"/>
          <w:kern w:val="0"/>
          <w:sz w:val="18"/>
        </w:rPr>
        <w:t xml:space="preserve"> </w:t>
      </w:r>
    </w:p>
    <w:p w:rsidR="00000000" w:rsidRDefault="00E254F7">
      <w:pPr>
        <w:spacing w:line="560" w:lineRule="exact"/>
        <w:jc w:val="center"/>
        <w:rPr>
          <w:rFonts w:hint="eastAsia"/>
          <w:color w:val="000000"/>
          <w:kern w:val="0"/>
          <w:sz w:val="18"/>
        </w:rPr>
      </w:pPr>
      <w:r>
        <w:rPr>
          <w:rFonts w:hint="eastAsia"/>
          <w:color w:val="000000"/>
          <w:kern w:val="0"/>
          <w:sz w:val="18"/>
        </w:rPr>
        <w:t xml:space="preserve">　</w:t>
      </w:r>
      <w:r>
        <w:rPr>
          <w:rFonts w:hint="eastAsia"/>
          <w:color w:val="000000"/>
          <w:kern w:val="0"/>
          <w:sz w:val="18"/>
        </w:rPr>
        <w:t xml:space="preserve"> </w:t>
      </w:r>
    </w:p>
    <w:p w:rsidR="00000000" w:rsidRDefault="00E254F7">
      <w:pPr>
        <w:pStyle w:val="20"/>
        <w:tabs>
          <w:tab w:val="right" w:leader="dot" w:pos="8835"/>
        </w:tabs>
        <w:divId w:val="1728141824"/>
        <w:rPr>
          <w:rFonts w:hint="eastAsia"/>
          <w:vanish/>
        </w:rPr>
      </w:pPr>
      <w:r>
        <w:rPr>
          <w:rFonts w:hint="eastAsia"/>
          <w:vanish/>
          <w:sz w:val="24"/>
          <w:szCs w:val="30"/>
        </w:rPr>
        <w:fldChar w:fldCharType="begin"/>
      </w:r>
      <w:r>
        <w:rPr>
          <w:rFonts w:hint="eastAsia"/>
          <w:vanish/>
          <w:sz w:val="24"/>
          <w:szCs w:val="30"/>
        </w:rPr>
        <w:instrText xml:space="preserve">?TOC \o "1-2" \n \h \z \u </w:instrText>
      </w:r>
      <w:r>
        <w:rPr>
          <w:vanish/>
          <w:sz w:val="24"/>
          <w:szCs w:val="30"/>
        </w:rPr>
        <w:fldChar w:fldCharType="separate"/>
      </w:r>
      <w:hyperlink w:anchor="_Toc510201001" w:history="1">
        <w:r>
          <w:rPr>
            <w:rStyle w:val="a3"/>
            <w:rFonts w:hint="eastAsia"/>
            <w:noProof/>
            <w:vanish/>
          </w:rPr>
          <w:t>0</w:t>
        </w:r>
        <w:r>
          <w:rPr>
            <w:rStyle w:val="a3"/>
            <w:rFonts w:hint="eastAsia"/>
            <w:noProof/>
            <w:vanish/>
          </w:rPr>
          <w:t>、公告标题</w:t>
        </w:r>
      </w:hyperlink>
      <w:r>
        <w:rPr>
          <w:rFonts w:asciiTheme="minorHAnsi" w:eastAsiaTheme="minorEastAsia" w:hAnsiTheme="minorHAnsi" w:cstheme="minorBidi"/>
          <w:noProof/>
          <w:vanish/>
          <w:szCs w:val="22"/>
        </w:rPr>
        <w:t xml:space="preserve"> </w:t>
      </w:r>
    </w:p>
    <w:p w:rsidR="00000000" w:rsidRDefault="00E254F7">
      <w:pPr>
        <w:pStyle w:val="20"/>
        <w:tabs>
          <w:tab w:val="right" w:leader="dot" w:pos="8835"/>
        </w:tabs>
        <w:divId w:val="1728141824"/>
        <w:rPr>
          <w:rFonts w:hint="eastAsia"/>
          <w:vanish/>
        </w:rPr>
      </w:pPr>
      <w:hyperlink w:anchor="_Toc34322059" w:history="1">
        <w:r>
          <w:rPr>
            <w:rStyle w:val="a3"/>
            <w:rFonts w:hint="eastAsia"/>
            <w:noProof/>
            <w:vanish/>
          </w:rPr>
          <w:t>1</w:t>
        </w:r>
        <w:r>
          <w:rPr>
            <w:rStyle w:val="a3"/>
            <w:rFonts w:hint="eastAsia"/>
            <w:noProof/>
            <w:vanish/>
          </w:rPr>
          <w:t>.</w:t>
        </w:r>
        <w:r>
          <w:rPr>
            <w:rStyle w:val="a3"/>
            <w:rFonts w:hint="eastAsia"/>
            <w:noProof/>
            <w:vanish/>
          </w:rPr>
          <w:t>公告基本信息</w:t>
        </w:r>
      </w:hyperlink>
      <w:r>
        <w:rPr>
          <w:rFonts w:asciiTheme="minorHAnsi" w:eastAsiaTheme="minorEastAsia" w:hAnsiTheme="minorHAnsi" w:cstheme="minorBidi"/>
          <w:noProof/>
          <w:vanish/>
          <w:szCs w:val="22"/>
        </w:rPr>
        <w:t xml:space="preserve"> </w:t>
      </w:r>
    </w:p>
    <w:p w:rsidR="00000000" w:rsidRDefault="00E254F7">
      <w:pPr>
        <w:pStyle w:val="20"/>
        <w:tabs>
          <w:tab w:val="right" w:leader="dot" w:pos="8835"/>
        </w:tabs>
        <w:divId w:val="1728141824"/>
        <w:rPr>
          <w:rFonts w:hint="eastAsia"/>
          <w:vanish/>
        </w:rPr>
      </w:pPr>
      <w:hyperlink w:anchor="_Toc34322060" w:history="1">
        <w:r>
          <w:rPr>
            <w:rStyle w:val="a3"/>
            <w:rFonts w:hint="eastAsia"/>
            <w:noProof/>
            <w:vanish/>
          </w:rPr>
          <w:t>2</w:t>
        </w:r>
        <w:r>
          <w:rPr>
            <w:rStyle w:val="a3"/>
            <w:rFonts w:hint="eastAsia"/>
            <w:noProof/>
            <w:vanish/>
          </w:rPr>
          <w:t>.</w:t>
        </w:r>
        <w:r>
          <w:rPr>
            <w:rStyle w:val="a3"/>
            <w:rFonts w:hint="eastAsia"/>
            <w:noProof/>
            <w:vanish/>
          </w:rPr>
          <w:t>与分红相关的其他信息</w:t>
        </w:r>
      </w:hyperlink>
      <w:r>
        <w:rPr>
          <w:rFonts w:asciiTheme="minorHAnsi" w:eastAsiaTheme="minorEastAsia" w:hAnsiTheme="minorHAnsi" w:cstheme="minorBidi"/>
          <w:noProof/>
          <w:vanish/>
          <w:szCs w:val="22"/>
        </w:rPr>
        <w:t xml:space="preserve"> </w:t>
      </w:r>
    </w:p>
    <w:p w:rsidR="00000000" w:rsidRDefault="00E254F7">
      <w:pPr>
        <w:pStyle w:val="20"/>
        <w:tabs>
          <w:tab w:val="right" w:leader="dot" w:pos="8835"/>
        </w:tabs>
        <w:divId w:val="1728141824"/>
        <w:rPr>
          <w:rFonts w:hint="eastAsia"/>
          <w:vanish/>
        </w:rPr>
      </w:pPr>
      <w:hyperlink w:anchor="_Toc34322063" w:history="1">
        <w:r>
          <w:rPr>
            <w:rStyle w:val="a3"/>
            <w:rFonts w:hint="eastAsia"/>
            <w:noProof/>
            <w:vanish/>
          </w:rPr>
          <w:t>3</w:t>
        </w:r>
        <w:r>
          <w:rPr>
            <w:rStyle w:val="a3"/>
            <w:rFonts w:hint="eastAsia"/>
            <w:noProof/>
            <w:vanish/>
          </w:rPr>
          <w:t>.</w:t>
        </w:r>
        <w:r>
          <w:rPr>
            <w:rStyle w:val="a3"/>
            <w:rFonts w:hint="eastAsia"/>
            <w:noProof/>
            <w:vanish/>
          </w:rPr>
          <w:t>其他需要提示的事项</w:t>
        </w:r>
      </w:hyperlink>
      <w:r>
        <w:rPr>
          <w:rFonts w:asciiTheme="minorHAnsi" w:eastAsiaTheme="minorEastAsia" w:hAnsiTheme="minorHAnsi" w:cstheme="minorBidi"/>
          <w:noProof/>
          <w:vanish/>
          <w:szCs w:val="22"/>
        </w:rPr>
        <w:t xml:space="preserve"> </w:t>
      </w:r>
    </w:p>
    <w:p w:rsidR="00000000" w:rsidRDefault="00E254F7">
      <w:pPr>
        <w:spacing w:line="560" w:lineRule="exact"/>
        <w:jc w:val="center"/>
        <w:rPr>
          <w:rFonts w:hint="eastAsia"/>
          <w:color w:val="000000"/>
          <w:kern w:val="0"/>
          <w:sz w:val="18"/>
        </w:rPr>
      </w:pPr>
      <w:r>
        <w:rPr>
          <w:rFonts w:hint="eastAsia"/>
          <w:color w:val="000000"/>
          <w:kern w:val="0"/>
          <w:sz w:val="18"/>
        </w:rPr>
        <w:fldChar w:fldCharType="end"/>
      </w:r>
      <w:r>
        <w:rPr>
          <w:rFonts w:hint="eastAsia"/>
          <w:color w:val="000000"/>
          <w:kern w:val="0"/>
          <w:sz w:val="18"/>
        </w:rPr>
        <w:t xml:space="preserve">　</w:t>
      </w:r>
      <w:r>
        <w:rPr>
          <w:rFonts w:hint="eastAsia"/>
          <w:color w:val="000000"/>
          <w:kern w:val="0"/>
          <w:sz w:val="18"/>
        </w:rPr>
        <w:t xml:space="preserve"> </w:t>
      </w:r>
    </w:p>
    <w:p w:rsidR="00000000" w:rsidRDefault="00E254F7">
      <w:pPr>
        <w:spacing w:line="560" w:lineRule="exact"/>
        <w:jc w:val="center"/>
        <w:rPr>
          <w:rFonts w:hint="eastAsia"/>
          <w:color w:val="000000"/>
          <w:kern w:val="0"/>
          <w:sz w:val="18"/>
        </w:rPr>
      </w:pPr>
      <w:r>
        <w:rPr>
          <w:rFonts w:hint="eastAsia"/>
          <w:color w:val="000000"/>
          <w:kern w:val="0"/>
          <w:sz w:val="18"/>
        </w:rPr>
        <w:t xml:space="preserve">　</w:t>
      </w:r>
      <w:r>
        <w:rPr>
          <w:rFonts w:hint="eastAsia"/>
          <w:color w:val="000000"/>
          <w:kern w:val="0"/>
          <w:sz w:val="18"/>
        </w:rPr>
        <w:t xml:space="preserve"> </w:t>
      </w:r>
    </w:p>
    <w:p w:rsidR="00000000" w:rsidRDefault="00E254F7">
      <w:pPr>
        <w:spacing w:line="560" w:lineRule="exact"/>
        <w:jc w:val="center"/>
        <w:rPr>
          <w:rFonts w:hint="eastAsia"/>
          <w:color w:val="000000"/>
          <w:kern w:val="0"/>
          <w:sz w:val="18"/>
        </w:rPr>
      </w:pPr>
      <w:r>
        <w:rPr>
          <w:rFonts w:hint="eastAsia"/>
          <w:color w:val="000000"/>
          <w:kern w:val="0"/>
          <w:sz w:val="18"/>
        </w:rPr>
        <w:t xml:space="preserve">　</w:t>
      </w:r>
      <w:r>
        <w:rPr>
          <w:rFonts w:hint="eastAsia"/>
          <w:color w:val="000000"/>
          <w:kern w:val="0"/>
          <w:sz w:val="18"/>
        </w:rPr>
        <w:t xml:space="preserve"> </w:t>
      </w:r>
    </w:p>
    <w:p w:rsidR="00000000" w:rsidRDefault="00E254F7">
      <w:pPr>
        <w:spacing w:line="560" w:lineRule="exact"/>
        <w:jc w:val="center"/>
        <w:rPr>
          <w:rFonts w:hint="eastAsia"/>
          <w:color w:val="000000"/>
          <w:kern w:val="0"/>
          <w:sz w:val="18"/>
        </w:rPr>
      </w:pPr>
      <w:r>
        <w:rPr>
          <w:rFonts w:hint="eastAsia"/>
          <w:color w:val="000000"/>
          <w:kern w:val="0"/>
          <w:sz w:val="18"/>
        </w:rPr>
        <w:t xml:space="preserve">　</w:t>
      </w:r>
      <w:r>
        <w:rPr>
          <w:rFonts w:hint="eastAsia"/>
          <w:color w:val="000000"/>
          <w:kern w:val="0"/>
          <w:sz w:val="18"/>
        </w:rPr>
        <w:t xml:space="preserve"> </w:t>
      </w:r>
    </w:p>
    <w:p w:rsidR="00000000" w:rsidRDefault="00E254F7">
      <w:pPr>
        <w:spacing w:line="560" w:lineRule="exact"/>
        <w:jc w:val="center"/>
        <w:rPr>
          <w:rFonts w:hint="eastAsia"/>
          <w:color w:val="000000"/>
          <w:kern w:val="0"/>
          <w:sz w:val="18"/>
        </w:rPr>
      </w:pPr>
      <w:r>
        <w:rPr>
          <w:rFonts w:hint="eastAsia"/>
          <w:color w:val="000000"/>
          <w:kern w:val="0"/>
          <w:sz w:val="18"/>
        </w:rPr>
        <w:t xml:space="preserve">　</w:t>
      </w:r>
      <w:r>
        <w:rPr>
          <w:rFonts w:hint="eastAsia"/>
          <w:color w:val="000000"/>
          <w:kern w:val="0"/>
          <w:sz w:val="18"/>
        </w:rPr>
        <w:t xml:space="preserve"> </w:t>
      </w:r>
    </w:p>
    <w:p w:rsidR="00000000" w:rsidRDefault="00E254F7">
      <w:pPr>
        <w:spacing w:line="560" w:lineRule="exact"/>
        <w:jc w:val="center"/>
        <w:rPr>
          <w:rFonts w:hint="eastAsia"/>
          <w:color w:val="000000"/>
          <w:kern w:val="0"/>
          <w:sz w:val="18"/>
        </w:rPr>
      </w:pPr>
      <w:r>
        <w:rPr>
          <w:rFonts w:hint="eastAsia"/>
          <w:color w:val="000000"/>
          <w:kern w:val="0"/>
          <w:sz w:val="18"/>
        </w:rPr>
        <w:t xml:space="preserve">　</w:t>
      </w:r>
      <w:r>
        <w:rPr>
          <w:rFonts w:hint="eastAsia"/>
          <w:color w:val="000000"/>
          <w:kern w:val="0"/>
          <w:sz w:val="18"/>
        </w:rPr>
        <w:t xml:space="preserve"> </w:t>
      </w:r>
    </w:p>
    <w:p w:rsidR="00000000" w:rsidRDefault="00E254F7">
      <w:pPr>
        <w:spacing w:line="560" w:lineRule="exact"/>
        <w:jc w:val="center"/>
        <w:rPr>
          <w:rFonts w:hint="eastAsia"/>
          <w:color w:val="000000"/>
          <w:kern w:val="0"/>
          <w:sz w:val="18"/>
        </w:rPr>
      </w:pPr>
      <w:r>
        <w:rPr>
          <w:rFonts w:hint="eastAsia"/>
          <w:color w:val="000000"/>
          <w:kern w:val="0"/>
          <w:sz w:val="18"/>
        </w:rPr>
        <w:t xml:space="preserve">　</w:t>
      </w:r>
      <w:r>
        <w:rPr>
          <w:rFonts w:hint="eastAsia"/>
          <w:color w:val="000000"/>
          <w:kern w:val="0"/>
          <w:sz w:val="18"/>
        </w:rPr>
        <w:t xml:space="preserve"> </w:t>
      </w:r>
    </w:p>
    <w:p w:rsidR="00000000" w:rsidRDefault="00E254F7">
      <w:pPr>
        <w:spacing w:line="560" w:lineRule="exact"/>
        <w:jc w:val="center"/>
        <w:rPr>
          <w:rFonts w:hint="eastAsia"/>
          <w:color w:val="000000"/>
          <w:kern w:val="0"/>
          <w:sz w:val="18"/>
        </w:rPr>
      </w:pPr>
      <w:r>
        <w:rPr>
          <w:rFonts w:hint="eastAsia"/>
          <w:color w:val="000000"/>
          <w:kern w:val="0"/>
          <w:sz w:val="18"/>
        </w:rPr>
        <w:t xml:space="preserve">　</w:t>
      </w:r>
      <w:r>
        <w:rPr>
          <w:rFonts w:hint="eastAsia"/>
          <w:color w:val="000000"/>
          <w:kern w:val="0"/>
          <w:sz w:val="18"/>
        </w:rPr>
        <w:t xml:space="preserve"> </w:t>
      </w:r>
    </w:p>
    <w:p w:rsidR="00000000" w:rsidRDefault="00E254F7">
      <w:pPr>
        <w:spacing w:line="560" w:lineRule="exact"/>
        <w:jc w:val="center"/>
        <w:rPr>
          <w:rFonts w:hint="eastAsia"/>
          <w:color w:val="000000"/>
          <w:kern w:val="0"/>
          <w:sz w:val="18"/>
        </w:rPr>
      </w:pPr>
      <w:r>
        <w:rPr>
          <w:rFonts w:hint="eastAsia"/>
          <w:color w:val="000000"/>
          <w:kern w:val="0"/>
          <w:sz w:val="18"/>
        </w:rPr>
        <w:t xml:space="preserve">　</w:t>
      </w:r>
      <w:r>
        <w:rPr>
          <w:rFonts w:hint="eastAsia"/>
          <w:color w:val="000000"/>
          <w:kern w:val="0"/>
          <w:sz w:val="18"/>
        </w:rPr>
        <w:t xml:space="preserve"> </w:t>
      </w:r>
    </w:p>
    <w:p w:rsidR="00000000" w:rsidRDefault="00E254F7">
      <w:pPr>
        <w:spacing w:line="560" w:lineRule="exact"/>
        <w:jc w:val="center"/>
        <w:rPr>
          <w:rFonts w:hint="eastAsia"/>
          <w:color w:val="000000"/>
          <w:kern w:val="0"/>
          <w:sz w:val="18"/>
        </w:rPr>
      </w:pPr>
      <w:r>
        <w:rPr>
          <w:rFonts w:hint="eastAsia"/>
          <w:color w:val="000000"/>
          <w:kern w:val="0"/>
          <w:sz w:val="18"/>
        </w:rPr>
        <w:t xml:space="preserve">　</w:t>
      </w:r>
      <w:r>
        <w:rPr>
          <w:rFonts w:hint="eastAsia"/>
          <w:color w:val="000000"/>
          <w:kern w:val="0"/>
          <w:sz w:val="18"/>
        </w:rPr>
        <w:t xml:space="preserve"> </w:t>
      </w:r>
    </w:p>
    <w:p w:rsidR="00000000" w:rsidRDefault="00E254F7">
      <w:pPr>
        <w:spacing w:line="560" w:lineRule="exact"/>
        <w:jc w:val="center"/>
        <w:rPr>
          <w:rFonts w:hint="eastAsia"/>
          <w:color w:val="000000"/>
          <w:kern w:val="0"/>
          <w:sz w:val="18"/>
        </w:rPr>
      </w:pPr>
      <w:r>
        <w:rPr>
          <w:rFonts w:hint="eastAsia"/>
          <w:color w:val="000000"/>
          <w:kern w:val="0"/>
          <w:sz w:val="18"/>
        </w:rPr>
        <w:t xml:space="preserve">　</w:t>
      </w:r>
      <w:r>
        <w:rPr>
          <w:rFonts w:hint="eastAsia"/>
          <w:color w:val="000000"/>
          <w:kern w:val="0"/>
          <w:sz w:val="18"/>
        </w:rPr>
        <w:t xml:space="preserve"> </w:t>
      </w:r>
    </w:p>
    <w:p w:rsidR="00000000" w:rsidRDefault="00E254F7">
      <w:pPr>
        <w:spacing w:line="360" w:lineRule="auto"/>
        <w:jc w:val="center"/>
        <w:rPr>
          <w:rFonts w:hint="eastAsia"/>
        </w:rPr>
      </w:pPr>
      <w:r>
        <w:rPr>
          <w:rFonts w:hint="eastAsia"/>
          <w:b/>
          <w:bCs/>
          <w:sz w:val="24"/>
          <w:szCs w:val="30"/>
        </w:rPr>
        <w:t>公告送出日期</w:t>
      </w:r>
      <w:r>
        <w:rPr>
          <w:rFonts w:hint="eastAsia"/>
          <w:b/>
          <w:bCs/>
          <w:sz w:val="24"/>
          <w:szCs w:val="30"/>
        </w:rPr>
        <w:t>：</w:t>
      </w:r>
      <w:r>
        <w:rPr>
          <w:rFonts w:hint="eastAsia"/>
          <w:b/>
          <w:bCs/>
          <w:sz w:val="24"/>
          <w:szCs w:val="30"/>
        </w:rPr>
        <w:t>2024</w:t>
      </w:r>
      <w:r>
        <w:rPr>
          <w:rFonts w:hint="eastAsia"/>
          <w:b/>
          <w:bCs/>
          <w:sz w:val="24"/>
          <w:szCs w:val="30"/>
        </w:rPr>
        <w:t>年</w:t>
      </w:r>
      <w:r>
        <w:rPr>
          <w:rFonts w:hint="eastAsia"/>
          <w:b/>
          <w:bCs/>
          <w:sz w:val="24"/>
          <w:szCs w:val="30"/>
        </w:rPr>
        <w:t>4</w:t>
      </w:r>
      <w:r>
        <w:rPr>
          <w:rFonts w:hint="eastAsia"/>
          <w:b/>
          <w:bCs/>
          <w:sz w:val="24"/>
          <w:szCs w:val="30"/>
        </w:rPr>
        <w:t>月</w:t>
      </w:r>
      <w:r>
        <w:rPr>
          <w:rFonts w:hint="eastAsia"/>
          <w:b/>
          <w:bCs/>
          <w:sz w:val="24"/>
          <w:szCs w:val="30"/>
        </w:rPr>
        <w:t>11</w:t>
      </w:r>
      <w:r>
        <w:rPr>
          <w:rFonts w:hint="eastAsia"/>
          <w:b/>
          <w:bCs/>
          <w:sz w:val="24"/>
          <w:szCs w:val="30"/>
        </w:rPr>
        <w:t>日</w:t>
      </w:r>
    </w:p>
    <w:p w:rsidR="00000000" w:rsidRDefault="00E254F7" w:rsidP="00E254F7">
      <w:pPr>
        <w:pStyle w:val="XBRLTitle1"/>
        <w:spacing w:before="156"/>
        <w:jc w:val="left"/>
        <w:rPr>
          <w:rFonts w:hint="eastAsia"/>
        </w:rPr>
      </w:pPr>
      <w:r>
        <w:rPr>
          <w:rFonts w:hint="eastAsia"/>
          <w:b w:val="0"/>
          <w:bCs w:val="0"/>
          <w:color w:val="404040"/>
          <w:kern w:val="0"/>
        </w:rPr>
        <w:br w:type="page"/>
      </w:r>
      <w:bookmarkStart w:id="1" w:name="_Toc34322059"/>
      <w:bookmarkStart w:id="2" w:name="_Toc513295892"/>
      <w:bookmarkStart w:id="3" w:name="_Toc513295846"/>
      <w:bookmarkStart w:id="4" w:name="_Toc490050000"/>
      <w:bookmarkStart w:id="5" w:name="_Toc438646451"/>
      <w:bookmarkStart w:id="6" w:name="_Toc481075046"/>
      <w:bookmarkStart w:id="7" w:name="_Toc512519480"/>
      <w:bookmarkStart w:id="8" w:name="_Toc17897936"/>
      <w:bookmarkStart w:id="9" w:name="_Toc17898178"/>
      <w:bookmarkStart w:id="10" w:name="_Toc194311890"/>
      <w:bookmarkStart w:id="11" w:name="m01_01"/>
      <w:bookmarkStart w:id="12" w:name="m101"/>
      <w:r>
        <w:rPr>
          <w:rFonts w:hint="eastAsia"/>
          <w:szCs w:val="24"/>
        </w:rPr>
        <w:lastRenderedPageBreak/>
        <w:t>公告基本信息</w:t>
      </w:r>
      <w:bookmarkEnd w:id="1"/>
      <w:bookmarkEnd w:id="2"/>
      <w:bookmarkEnd w:id="3"/>
      <w:bookmarkEnd w:id="4"/>
      <w:bookmarkEnd w:id="5"/>
      <w:bookmarkEnd w:id="6"/>
      <w:bookmarkEnd w:id="7"/>
      <w:bookmarkEnd w:id="8"/>
      <w:bookmarkEnd w:id="9"/>
      <w:r>
        <w:rPr>
          <w:rFonts w:hint="eastAsia"/>
          <w:szCs w:val="24"/>
        </w:rPr>
        <w:t xml:space="preserve"> </w:t>
      </w:r>
    </w:p>
    <w:tbl>
      <w:tblPr>
        <w:tblStyle w:val="af8"/>
        <w:tblW w:w="8520" w:type="dxa"/>
        <w:tblInd w:w="0" w:type="dxa"/>
        <w:tblLayout w:type="fixed"/>
        <w:tblLook w:val="04A0"/>
      </w:tblPr>
      <w:tblGrid>
        <w:gridCol w:w="896"/>
        <w:gridCol w:w="998"/>
        <w:gridCol w:w="3313"/>
        <w:gridCol w:w="3313"/>
      </w:tblGrid>
      <w:tr w:rsidR="00000000">
        <w:tc>
          <w:tcPr>
            <w:tcW w:w="29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E254F7">
            <w:pPr>
              <w:rPr>
                <w:sz w:val="20"/>
              </w:rPr>
            </w:pPr>
            <w:r>
              <w:rPr>
                <w:rFonts w:hint="eastAsia"/>
                <w:szCs w:val="21"/>
              </w:rPr>
              <w:t>基金名称</w:t>
            </w:r>
            <w:r>
              <w:rPr>
                <w:rFonts w:hint="eastAsia"/>
                <w:szCs w:val="21"/>
              </w:rPr>
              <w:t xml:space="preserve"> </w:t>
            </w:r>
          </w:p>
        </w:tc>
        <w:tc>
          <w:tcPr>
            <w:tcW w:w="55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E254F7">
            <w:r>
              <w:rPr>
                <w:rFonts w:hint="eastAsia"/>
                <w:szCs w:val="21"/>
              </w:rPr>
              <w:t>华泰柏瑞季季红债券型证券投资基</w:t>
            </w:r>
            <w:r>
              <w:rPr>
                <w:rFonts w:hint="eastAsia"/>
                <w:szCs w:val="21"/>
              </w:rPr>
              <w:t>金</w:t>
            </w:r>
          </w:p>
        </w:tc>
      </w:tr>
      <w:tr w:rsidR="00000000">
        <w:tc>
          <w:tcPr>
            <w:tcW w:w="29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E254F7">
            <w:pPr>
              <w:rPr>
                <w:sz w:val="20"/>
              </w:rPr>
            </w:pPr>
            <w:r>
              <w:rPr>
                <w:rFonts w:hint="eastAsia"/>
                <w:szCs w:val="21"/>
              </w:rPr>
              <w:t>基金简称</w:t>
            </w:r>
            <w:r>
              <w:rPr>
                <w:rFonts w:hint="eastAsia"/>
                <w:szCs w:val="21"/>
              </w:rPr>
              <w:t xml:space="preserve"> </w:t>
            </w:r>
          </w:p>
        </w:tc>
        <w:tc>
          <w:tcPr>
            <w:tcW w:w="55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E254F7">
            <w:r>
              <w:rPr>
                <w:rFonts w:hint="eastAsia"/>
                <w:szCs w:val="21"/>
              </w:rPr>
              <w:t>华泰柏瑞季季红债</w:t>
            </w:r>
            <w:r>
              <w:rPr>
                <w:rFonts w:hint="eastAsia"/>
                <w:szCs w:val="21"/>
              </w:rPr>
              <w:t>券</w:t>
            </w:r>
          </w:p>
        </w:tc>
      </w:tr>
      <w:tr w:rsidR="00000000">
        <w:tc>
          <w:tcPr>
            <w:tcW w:w="29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E254F7">
            <w:pPr>
              <w:rPr>
                <w:sz w:val="20"/>
              </w:rPr>
            </w:pPr>
            <w:r>
              <w:rPr>
                <w:rFonts w:hint="eastAsia"/>
                <w:szCs w:val="21"/>
              </w:rPr>
              <w:t>基金主代码</w:t>
            </w:r>
            <w:r>
              <w:rPr>
                <w:rFonts w:hint="eastAsia"/>
                <w:szCs w:val="21"/>
              </w:rPr>
              <w:t xml:space="preserve"> </w:t>
            </w:r>
          </w:p>
        </w:tc>
        <w:tc>
          <w:tcPr>
            <w:tcW w:w="55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E254F7">
            <w:r>
              <w:rPr>
                <w:rFonts w:hint="eastAsia"/>
                <w:szCs w:val="21"/>
              </w:rPr>
              <w:t>00018</w:t>
            </w:r>
            <w:r>
              <w:rPr>
                <w:rFonts w:hint="eastAsia"/>
                <w:szCs w:val="21"/>
              </w:rPr>
              <w:t>6</w:t>
            </w:r>
          </w:p>
        </w:tc>
      </w:tr>
      <w:tr w:rsidR="00000000">
        <w:tc>
          <w:tcPr>
            <w:tcW w:w="29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E254F7">
            <w:pPr>
              <w:rPr>
                <w:sz w:val="20"/>
              </w:rPr>
            </w:pPr>
            <w:r>
              <w:rPr>
                <w:rFonts w:hint="eastAsia"/>
                <w:szCs w:val="21"/>
              </w:rPr>
              <w:t>基金合同生效日</w:t>
            </w:r>
            <w:r>
              <w:rPr>
                <w:rFonts w:hint="eastAsia"/>
                <w:szCs w:val="21"/>
              </w:rPr>
              <w:t xml:space="preserve"> </w:t>
            </w:r>
          </w:p>
        </w:tc>
        <w:tc>
          <w:tcPr>
            <w:tcW w:w="55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E254F7">
            <w:r>
              <w:rPr>
                <w:rFonts w:hint="eastAsia"/>
                <w:szCs w:val="21"/>
              </w:rPr>
              <w:t>201</w:t>
            </w:r>
            <w:r>
              <w:rPr>
                <w:rFonts w:hint="eastAsia"/>
                <w:szCs w:val="21"/>
              </w:rPr>
              <w:t>3</w:t>
            </w:r>
            <w:r>
              <w:rPr>
                <w:rFonts w:hint="eastAsia"/>
                <w:szCs w:val="21"/>
              </w:rPr>
              <w:t>年</w:t>
            </w:r>
            <w:r>
              <w:rPr>
                <w:rFonts w:hint="eastAsia"/>
                <w:szCs w:val="21"/>
              </w:rPr>
              <w:t>11</w:t>
            </w:r>
            <w:r>
              <w:rPr>
                <w:rFonts w:hint="eastAsia"/>
                <w:szCs w:val="21"/>
              </w:rPr>
              <w:t>月</w:t>
            </w:r>
            <w:r>
              <w:rPr>
                <w:rFonts w:hint="eastAsia"/>
                <w:szCs w:val="21"/>
              </w:rPr>
              <w:t>13</w:t>
            </w:r>
            <w:r>
              <w:rPr>
                <w:rFonts w:hint="eastAsia"/>
                <w:szCs w:val="21"/>
              </w:rPr>
              <w:t>日</w:t>
            </w:r>
          </w:p>
        </w:tc>
      </w:tr>
      <w:tr w:rsidR="00000000">
        <w:tc>
          <w:tcPr>
            <w:tcW w:w="29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E254F7">
            <w:pPr>
              <w:rPr>
                <w:sz w:val="20"/>
              </w:rPr>
            </w:pPr>
            <w:r>
              <w:rPr>
                <w:rFonts w:hint="eastAsia"/>
                <w:szCs w:val="21"/>
              </w:rPr>
              <w:t>基金管理人名称</w:t>
            </w:r>
            <w:r>
              <w:rPr>
                <w:rFonts w:hint="eastAsia"/>
                <w:szCs w:val="21"/>
              </w:rPr>
              <w:t xml:space="preserve"> </w:t>
            </w:r>
          </w:p>
        </w:tc>
        <w:tc>
          <w:tcPr>
            <w:tcW w:w="55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E254F7">
            <w:r>
              <w:rPr>
                <w:rFonts w:hint="eastAsia"/>
                <w:szCs w:val="21"/>
              </w:rPr>
              <w:t>华泰柏瑞基金管理有限公</w:t>
            </w:r>
            <w:r>
              <w:rPr>
                <w:rFonts w:hint="eastAsia"/>
                <w:szCs w:val="21"/>
              </w:rPr>
              <w:t>司</w:t>
            </w:r>
          </w:p>
        </w:tc>
      </w:tr>
      <w:tr w:rsidR="00000000">
        <w:tc>
          <w:tcPr>
            <w:tcW w:w="29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E254F7">
            <w:pPr>
              <w:rPr>
                <w:sz w:val="20"/>
              </w:rPr>
            </w:pPr>
            <w:r>
              <w:rPr>
                <w:rFonts w:hint="eastAsia"/>
                <w:szCs w:val="21"/>
              </w:rPr>
              <w:t>基金托管人名称</w:t>
            </w:r>
            <w:r>
              <w:rPr>
                <w:rFonts w:hint="eastAsia"/>
                <w:szCs w:val="21"/>
              </w:rPr>
              <w:t xml:space="preserve"> </w:t>
            </w:r>
          </w:p>
        </w:tc>
        <w:tc>
          <w:tcPr>
            <w:tcW w:w="55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E254F7">
            <w:r>
              <w:rPr>
                <w:rFonts w:hint="eastAsia"/>
                <w:szCs w:val="21"/>
              </w:rPr>
              <w:t>中国建设银行股份有限公</w:t>
            </w:r>
            <w:r>
              <w:rPr>
                <w:rFonts w:hint="eastAsia"/>
                <w:szCs w:val="21"/>
              </w:rPr>
              <w:t>司</w:t>
            </w:r>
          </w:p>
        </w:tc>
      </w:tr>
      <w:tr w:rsidR="00000000">
        <w:tc>
          <w:tcPr>
            <w:tcW w:w="29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E254F7">
            <w:pPr>
              <w:rPr>
                <w:sz w:val="20"/>
              </w:rPr>
            </w:pPr>
            <w:r>
              <w:rPr>
                <w:rFonts w:hint="eastAsia"/>
                <w:szCs w:val="21"/>
              </w:rPr>
              <w:t>公告依据</w:t>
            </w:r>
            <w:r>
              <w:rPr>
                <w:rFonts w:hint="eastAsia"/>
                <w:szCs w:val="21"/>
              </w:rPr>
              <w:t xml:space="preserve"> </w:t>
            </w:r>
          </w:p>
        </w:tc>
        <w:tc>
          <w:tcPr>
            <w:tcW w:w="55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E254F7">
            <w:r>
              <w:rPr>
                <w:rFonts w:hint="eastAsia"/>
                <w:szCs w:val="21"/>
              </w:rPr>
              <w:t>《公开募集证券投资基金信息披露管理办法》、《华泰柏瑞季季红债券型证券投资基金合同》、《华泰柏瑞季季红债券型证券投资基金招募说明书</w:t>
            </w:r>
            <w:r>
              <w:rPr>
                <w:rFonts w:hint="eastAsia"/>
                <w:szCs w:val="21"/>
              </w:rPr>
              <w:t>》</w:t>
            </w:r>
          </w:p>
        </w:tc>
      </w:tr>
      <w:tr w:rsidR="00000000">
        <w:tc>
          <w:tcPr>
            <w:tcW w:w="29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E254F7">
            <w:pPr>
              <w:rPr>
                <w:sz w:val="20"/>
              </w:rPr>
            </w:pPr>
            <w:r>
              <w:rPr>
                <w:rFonts w:hint="eastAsia"/>
                <w:szCs w:val="21"/>
              </w:rPr>
              <w:t>收益分配基准日</w:t>
            </w:r>
            <w:r>
              <w:rPr>
                <w:rFonts w:hint="eastAsia"/>
                <w:szCs w:val="21"/>
              </w:rPr>
              <w:t xml:space="preserve"> </w:t>
            </w:r>
          </w:p>
        </w:tc>
        <w:tc>
          <w:tcPr>
            <w:tcW w:w="55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E254F7">
            <w:r>
              <w:rPr>
                <w:rFonts w:hint="eastAsia"/>
                <w:szCs w:val="21"/>
              </w:rPr>
              <w:t>202</w:t>
            </w:r>
            <w:r>
              <w:rPr>
                <w:rFonts w:hint="eastAsia"/>
                <w:szCs w:val="21"/>
              </w:rPr>
              <w:t>4</w:t>
            </w:r>
            <w:r>
              <w:rPr>
                <w:rFonts w:hint="eastAsia"/>
                <w:szCs w:val="21"/>
              </w:rPr>
              <w:t>年</w:t>
            </w:r>
            <w:r>
              <w:rPr>
                <w:rFonts w:hint="eastAsia"/>
                <w:szCs w:val="21"/>
              </w:rPr>
              <w:t>3</w:t>
            </w:r>
            <w:r>
              <w:rPr>
                <w:rFonts w:hint="eastAsia"/>
                <w:szCs w:val="21"/>
              </w:rPr>
              <w:t>月</w:t>
            </w:r>
            <w:r>
              <w:rPr>
                <w:rFonts w:hint="eastAsia"/>
                <w:szCs w:val="21"/>
              </w:rPr>
              <w:t>31</w:t>
            </w:r>
            <w:r>
              <w:rPr>
                <w:rFonts w:hint="eastAsia"/>
                <w:szCs w:val="21"/>
              </w:rPr>
              <w:t>日</w:t>
            </w:r>
          </w:p>
        </w:tc>
      </w:tr>
      <w:tr w:rsidR="00000000">
        <w:tc>
          <w:tcPr>
            <w:tcW w:w="13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E254F7">
            <w:r>
              <w:rPr>
                <w:rFonts w:hint="eastAsia"/>
                <w:szCs w:val="21"/>
              </w:rPr>
              <w:t>截止收益分配基准日的相关指标</w:t>
            </w:r>
            <w:r>
              <w:rPr>
                <w:rFonts w:hint="eastAsia"/>
                <w:szCs w:val="21"/>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E254F7">
            <w:pPr>
              <w:rPr>
                <w:sz w:val="20"/>
              </w:rPr>
            </w:pPr>
            <w:r>
              <w:rPr>
                <w:rFonts w:hint="eastAsia"/>
                <w:szCs w:val="21"/>
              </w:rPr>
              <w:t>基准日基金可供分配利润（单位：人民币元）</w:t>
            </w:r>
            <w:r>
              <w:rPr>
                <w:rFonts w:hint="eastAsia"/>
                <w:szCs w:val="21"/>
              </w:rPr>
              <w:t xml:space="preserve"> </w:t>
            </w:r>
          </w:p>
        </w:tc>
        <w:tc>
          <w:tcPr>
            <w:tcW w:w="55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E254F7">
            <w:r>
              <w:rPr>
                <w:rFonts w:hint="eastAsia"/>
                <w:szCs w:val="21"/>
              </w:rPr>
              <w:t>57,192,376.4</w:t>
            </w:r>
            <w:r>
              <w:rPr>
                <w:rFonts w:hint="eastAsia"/>
                <w:szCs w:val="21"/>
              </w:rPr>
              <w:t>9</w:t>
            </w:r>
          </w:p>
        </w:tc>
      </w:tr>
      <w:tr w:rsidR="00000000">
        <w:tc>
          <w:tcPr>
            <w:tcW w:w="29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000" w:rsidRDefault="00E254F7">
            <w:pPr>
              <w:widowControl/>
              <w:jc w:val="left"/>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E254F7">
            <w:pPr>
              <w:rPr>
                <w:sz w:val="20"/>
              </w:rPr>
            </w:pPr>
            <w:r>
              <w:rPr>
                <w:rFonts w:hint="eastAsia"/>
                <w:szCs w:val="21"/>
              </w:rPr>
              <w:t>截止基准日按照基金合同约定的分红比例计算的应分配金额（单位：人民币元）</w:t>
            </w:r>
            <w:r>
              <w:rPr>
                <w:rFonts w:hint="eastAsia"/>
                <w:szCs w:val="21"/>
              </w:rPr>
              <w:t xml:space="preserve"> </w:t>
            </w:r>
          </w:p>
        </w:tc>
        <w:tc>
          <w:tcPr>
            <w:tcW w:w="55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E254F7">
            <w:r>
              <w:rPr>
                <w:rFonts w:hint="eastAsia"/>
                <w:szCs w:val="21"/>
              </w:rPr>
              <w:t>28,596,188.2</w:t>
            </w:r>
            <w:r>
              <w:rPr>
                <w:rFonts w:hint="eastAsia"/>
                <w:szCs w:val="21"/>
              </w:rPr>
              <w:t>5</w:t>
            </w:r>
          </w:p>
        </w:tc>
      </w:tr>
      <w:tr w:rsidR="00000000">
        <w:tc>
          <w:tcPr>
            <w:tcW w:w="29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000" w:rsidRDefault="00E254F7">
            <w:pPr>
              <w:rPr>
                <w:sz w:val="20"/>
              </w:rPr>
            </w:pPr>
            <w:r>
              <w:rPr>
                <w:rFonts w:hint="eastAsia"/>
                <w:szCs w:val="21"/>
              </w:rPr>
              <w:t>有关年度分红次数的说明</w:t>
            </w:r>
            <w:r>
              <w:rPr>
                <w:rFonts w:hint="eastAsia"/>
                <w:szCs w:val="21"/>
              </w:rPr>
              <w:t xml:space="preserve"> </w:t>
            </w:r>
          </w:p>
        </w:tc>
        <w:tc>
          <w:tcPr>
            <w:tcW w:w="55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E254F7">
            <w:r>
              <w:rPr>
                <w:rFonts w:hint="eastAsia"/>
                <w:szCs w:val="21"/>
              </w:rPr>
              <w:t>202</w:t>
            </w:r>
            <w:r>
              <w:rPr>
                <w:rFonts w:hint="eastAsia"/>
                <w:szCs w:val="21"/>
              </w:rPr>
              <w:t>4</w:t>
            </w:r>
            <w:r>
              <w:rPr>
                <w:rFonts w:hint="eastAsia"/>
                <w:szCs w:val="21"/>
              </w:rPr>
              <w:t>年度第一次分红</w:t>
            </w:r>
          </w:p>
        </w:tc>
      </w:tr>
      <w:tr w:rsidR="00000000">
        <w:tc>
          <w:tcPr>
            <w:tcW w:w="29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E254F7">
            <w:pPr>
              <w:rPr>
                <w:sz w:val="20"/>
              </w:rPr>
            </w:pPr>
            <w:r>
              <w:rPr>
                <w:rFonts w:hint="eastAsia"/>
                <w:szCs w:val="21"/>
              </w:rPr>
              <w:t>下属分级基金的基金简称</w:t>
            </w:r>
            <w:r>
              <w:rPr>
                <w:rFonts w:hint="eastAsia"/>
                <w:szCs w:val="21"/>
              </w:rPr>
              <w:t xml:space="preserve"> </w:t>
            </w:r>
          </w:p>
        </w:tc>
        <w:tc>
          <w:tcPr>
            <w:tcW w:w="5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E254F7">
            <w:pPr>
              <w:rPr>
                <w:sz w:val="20"/>
              </w:rPr>
            </w:pPr>
            <w:r>
              <w:rPr>
                <w:rFonts w:hint="eastAsia"/>
                <w:szCs w:val="21"/>
              </w:rPr>
              <w:t>华泰柏瑞季季红债券</w:t>
            </w:r>
            <w:r>
              <w:rPr>
                <w:rFonts w:hint="eastAsia"/>
                <w:szCs w:val="21"/>
              </w:rPr>
              <w:t>A</w:t>
            </w:r>
          </w:p>
        </w:tc>
        <w:tc>
          <w:tcPr>
            <w:tcW w:w="5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E254F7">
            <w:r>
              <w:rPr>
                <w:rFonts w:hint="eastAsia"/>
                <w:szCs w:val="21"/>
              </w:rPr>
              <w:t>华泰柏瑞季季红债券</w:t>
            </w:r>
            <w:r>
              <w:rPr>
                <w:rFonts w:hint="eastAsia"/>
                <w:szCs w:val="21"/>
              </w:rPr>
              <w:t>C</w:t>
            </w:r>
          </w:p>
        </w:tc>
      </w:tr>
      <w:tr w:rsidR="00000000">
        <w:tc>
          <w:tcPr>
            <w:tcW w:w="29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000" w:rsidRDefault="00E254F7">
            <w:pPr>
              <w:rPr>
                <w:sz w:val="20"/>
              </w:rPr>
            </w:pPr>
            <w:r>
              <w:rPr>
                <w:rFonts w:hint="eastAsia"/>
                <w:szCs w:val="21"/>
              </w:rPr>
              <w:t>下属分级基金的交易代码</w:t>
            </w:r>
            <w:r>
              <w:rPr>
                <w:rFonts w:hint="eastAsia"/>
                <w:szCs w:val="21"/>
              </w:rPr>
              <w:t xml:space="preserve"> </w:t>
            </w:r>
          </w:p>
        </w:tc>
        <w:tc>
          <w:tcPr>
            <w:tcW w:w="5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E254F7">
            <w:pPr>
              <w:rPr>
                <w:sz w:val="20"/>
              </w:rPr>
            </w:pPr>
            <w:r>
              <w:rPr>
                <w:rFonts w:hint="eastAsia"/>
                <w:szCs w:val="21"/>
              </w:rPr>
              <w:t>00018</w:t>
            </w:r>
            <w:r>
              <w:rPr>
                <w:rFonts w:hint="eastAsia"/>
                <w:szCs w:val="21"/>
              </w:rPr>
              <w:t>6</w:t>
            </w:r>
          </w:p>
        </w:tc>
        <w:tc>
          <w:tcPr>
            <w:tcW w:w="5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E254F7">
            <w:r>
              <w:rPr>
                <w:rFonts w:hint="eastAsia"/>
                <w:szCs w:val="21"/>
              </w:rPr>
              <w:t>01537</w:t>
            </w:r>
            <w:r>
              <w:rPr>
                <w:rFonts w:hint="eastAsia"/>
                <w:szCs w:val="21"/>
              </w:rPr>
              <w:t>0</w:t>
            </w:r>
          </w:p>
        </w:tc>
      </w:tr>
      <w:tr w:rsidR="00000000">
        <w:tc>
          <w:tcPr>
            <w:tcW w:w="13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E254F7">
            <w:r>
              <w:rPr>
                <w:rFonts w:hint="eastAsia"/>
                <w:szCs w:val="21"/>
              </w:rPr>
              <w:t>截止基准日下属分级基金的相关指标</w:t>
            </w:r>
            <w:r>
              <w:rPr>
                <w:rFonts w:hint="eastAsia"/>
                <w:szCs w:val="21"/>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E254F7">
            <w:pPr>
              <w:rPr>
                <w:sz w:val="20"/>
              </w:rPr>
            </w:pPr>
            <w:r>
              <w:rPr>
                <w:rFonts w:hint="eastAsia"/>
                <w:szCs w:val="21"/>
              </w:rPr>
              <w:t>基准日下属分级基金份额净值（单位：</w:t>
            </w:r>
            <w:r>
              <w:rPr>
                <w:rFonts w:hint="eastAsia"/>
                <w:szCs w:val="21"/>
              </w:rPr>
              <w:t xml:space="preserve"> </w:t>
            </w:r>
            <w:r>
              <w:rPr>
                <w:rFonts w:hint="eastAsia"/>
                <w:szCs w:val="21"/>
              </w:rPr>
              <w:t>人民币元）</w:t>
            </w:r>
            <w:r>
              <w:rPr>
                <w:rFonts w:hint="eastAsia"/>
                <w:szCs w:val="21"/>
              </w:rPr>
              <w:t xml:space="preserve"> </w:t>
            </w:r>
          </w:p>
        </w:tc>
        <w:tc>
          <w:tcPr>
            <w:tcW w:w="5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E254F7">
            <w:pPr>
              <w:rPr>
                <w:sz w:val="20"/>
              </w:rPr>
            </w:pPr>
            <w:r>
              <w:rPr>
                <w:rFonts w:hint="eastAsia"/>
                <w:szCs w:val="21"/>
              </w:rPr>
              <w:t>1.079</w:t>
            </w:r>
            <w:r>
              <w:rPr>
                <w:rFonts w:hint="eastAsia"/>
                <w:szCs w:val="21"/>
              </w:rPr>
              <w:t>4</w:t>
            </w:r>
          </w:p>
        </w:tc>
        <w:tc>
          <w:tcPr>
            <w:tcW w:w="5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E254F7">
            <w:r>
              <w:rPr>
                <w:rFonts w:hint="eastAsia"/>
                <w:szCs w:val="21"/>
              </w:rPr>
              <w:t>1.078</w:t>
            </w:r>
            <w:r>
              <w:rPr>
                <w:rFonts w:hint="eastAsia"/>
                <w:szCs w:val="21"/>
              </w:rPr>
              <w:t>8</w:t>
            </w:r>
          </w:p>
        </w:tc>
      </w:tr>
      <w:tr w:rsidR="00000000">
        <w:tc>
          <w:tcPr>
            <w:tcW w:w="29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000" w:rsidRDefault="00E254F7">
            <w:pPr>
              <w:widowControl/>
              <w:jc w:val="left"/>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E254F7">
            <w:pPr>
              <w:rPr>
                <w:sz w:val="20"/>
              </w:rPr>
            </w:pPr>
            <w:r>
              <w:rPr>
                <w:rFonts w:hint="eastAsia"/>
                <w:szCs w:val="21"/>
              </w:rPr>
              <w:t>基准日下属分级基金</w:t>
            </w:r>
            <w:r>
              <w:rPr>
                <w:rFonts w:hint="eastAsia"/>
                <w:szCs w:val="21"/>
              </w:rPr>
              <w:lastRenderedPageBreak/>
              <w:t>可供分配利润（单位</w:t>
            </w:r>
            <w:r>
              <w:rPr>
                <w:rFonts w:hint="eastAsia"/>
                <w:szCs w:val="21"/>
              </w:rPr>
              <w:t>:</w:t>
            </w:r>
            <w:r>
              <w:rPr>
                <w:rFonts w:hint="eastAsia"/>
                <w:szCs w:val="21"/>
              </w:rPr>
              <w:t>人民币元）</w:t>
            </w:r>
            <w:r>
              <w:rPr>
                <w:rFonts w:hint="eastAsia"/>
                <w:szCs w:val="21"/>
              </w:rPr>
              <w:t xml:space="preserve"> </w:t>
            </w:r>
          </w:p>
        </w:tc>
        <w:tc>
          <w:tcPr>
            <w:tcW w:w="5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E254F7">
            <w:pPr>
              <w:rPr>
                <w:sz w:val="20"/>
              </w:rPr>
            </w:pPr>
            <w:r>
              <w:rPr>
                <w:rFonts w:hint="eastAsia"/>
                <w:szCs w:val="21"/>
              </w:rPr>
              <w:lastRenderedPageBreak/>
              <w:t>55,076,299.4</w:t>
            </w:r>
            <w:r>
              <w:rPr>
                <w:rFonts w:hint="eastAsia"/>
                <w:szCs w:val="21"/>
              </w:rPr>
              <w:t>8</w:t>
            </w:r>
          </w:p>
        </w:tc>
        <w:tc>
          <w:tcPr>
            <w:tcW w:w="5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E254F7">
            <w:r>
              <w:rPr>
                <w:rFonts w:hint="eastAsia"/>
                <w:szCs w:val="21"/>
              </w:rPr>
              <w:t>2,116,077.0</w:t>
            </w:r>
            <w:r>
              <w:rPr>
                <w:rFonts w:hint="eastAsia"/>
                <w:szCs w:val="21"/>
              </w:rPr>
              <w:t>1</w:t>
            </w:r>
          </w:p>
        </w:tc>
      </w:tr>
      <w:tr w:rsidR="00000000">
        <w:tc>
          <w:tcPr>
            <w:tcW w:w="29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E254F7">
            <w:pPr>
              <w:rPr>
                <w:sz w:val="20"/>
              </w:rPr>
            </w:pPr>
            <w:r>
              <w:rPr>
                <w:rFonts w:hint="eastAsia"/>
                <w:szCs w:val="21"/>
              </w:rPr>
              <w:lastRenderedPageBreak/>
              <w:t>本次下属分级基金分红方案（单位：元</w:t>
            </w:r>
            <w:r>
              <w:rPr>
                <w:rFonts w:hint="eastAsia"/>
                <w:szCs w:val="21"/>
              </w:rPr>
              <w:t>/10</w:t>
            </w:r>
            <w:r>
              <w:rPr>
                <w:rFonts w:hint="eastAsia"/>
                <w:szCs w:val="21"/>
              </w:rPr>
              <w:t>份基金份额）</w:t>
            </w:r>
            <w:r>
              <w:rPr>
                <w:rFonts w:hint="eastAsia"/>
                <w:szCs w:val="21"/>
              </w:rPr>
              <w:t xml:space="preserve"> </w:t>
            </w:r>
          </w:p>
        </w:tc>
        <w:tc>
          <w:tcPr>
            <w:tcW w:w="5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E254F7">
            <w:pPr>
              <w:rPr>
                <w:sz w:val="20"/>
              </w:rPr>
            </w:pPr>
            <w:r>
              <w:rPr>
                <w:rFonts w:hint="eastAsia"/>
                <w:szCs w:val="21"/>
              </w:rPr>
              <w:t>0.055</w:t>
            </w:r>
            <w:r>
              <w:rPr>
                <w:rFonts w:hint="eastAsia"/>
                <w:szCs w:val="21"/>
              </w:rPr>
              <w:t>0</w:t>
            </w:r>
          </w:p>
        </w:tc>
        <w:tc>
          <w:tcPr>
            <w:tcW w:w="5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000" w:rsidRDefault="00E254F7">
            <w:r>
              <w:rPr>
                <w:rFonts w:hint="eastAsia"/>
                <w:szCs w:val="21"/>
              </w:rPr>
              <w:t>0.051</w:t>
            </w:r>
            <w:r>
              <w:rPr>
                <w:rFonts w:hint="eastAsia"/>
                <w:szCs w:val="21"/>
              </w:rPr>
              <w:t>0</w:t>
            </w:r>
          </w:p>
        </w:tc>
      </w:tr>
    </w:tbl>
    <w:p w:rsidR="00000000" w:rsidRDefault="00E254F7" w:rsidP="00E254F7">
      <w:pPr>
        <w:adjustRightInd w:val="0"/>
        <w:snapToGrid w:val="0"/>
        <w:spacing w:beforeLines="50" w:line="360" w:lineRule="auto"/>
        <w:jc w:val="left"/>
        <w:rPr>
          <w:rFonts w:hint="eastAsia"/>
        </w:rPr>
      </w:pPr>
      <w:r>
        <w:rPr>
          <w:rFonts w:hint="eastAsia"/>
        </w:rPr>
        <w:t>注</w:t>
      </w:r>
      <w:r>
        <w:rPr>
          <w:rFonts w:hint="eastAsia"/>
        </w:rPr>
        <w:t>：</w:t>
      </w:r>
      <w:r>
        <w:rPr>
          <w:rFonts w:hint="eastAsia"/>
          <w:szCs w:val="24"/>
          <w:lang/>
        </w:rPr>
        <w:t>根据《华泰柏瑞季季红债券型证券投资基金基金合同》约定：在符合有关基金分红条件的前提下，每季度末基金份额可供分配利润超过</w:t>
      </w:r>
      <w:r>
        <w:rPr>
          <w:rFonts w:hint="eastAsia"/>
          <w:szCs w:val="24"/>
          <w:lang/>
        </w:rPr>
        <w:t>0.01</w:t>
      </w:r>
      <w:r>
        <w:rPr>
          <w:rFonts w:hint="eastAsia"/>
          <w:szCs w:val="24"/>
          <w:lang/>
        </w:rPr>
        <w:t>元时，本基金至少进行收益分配</w:t>
      </w:r>
      <w:r>
        <w:rPr>
          <w:rFonts w:hint="eastAsia"/>
          <w:szCs w:val="24"/>
          <w:lang/>
        </w:rPr>
        <w:t>1</w:t>
      </w:r>
      <w:r>
        <w:rPr>
          <w:rFonts w:hint="eastAsia"/>
          <w:szCs w:val="24"/>
          <w:lang/>
        </w:rPr>
        <w:t>次，本基金每年收益分配次数最多为</w:t>
      </w:r>
      <w:r>
        <w:rPr>
          <w:rFonts w:hint="eastAsia"/>
          <w:szCs w:val="24"/>
          <w:lang/>
        </w:rPr>
        <w:t>12</w:t>
      </w:r>
      <w:r>
        <w:rPr>
          <w:rFonts w:hint="eastAsia"/>
          <w:szCs w:val="24"/>
          <w:lang/>
        </w:rPr>
        <w:t>次，每次收益分配比例不得低于该次可供分配利润的</w:t>
      </w:r>
      <w:r>
        <w:rPr>
          <w:rFonts w:hint="eastAsia"/>
          <w:szCs w:val="24"/>
          <w:lang/>
        </w:rPr>
        <w:t>50%</w:t>
      </w:r>
      <w:r>
        <w:rPr>
          <w:rFonts w:hint="eastAsia"/>
          <w:szCs w:val="24"/>
          <w:lang/>
        </w:rPr>
        <w:t>，每年度末收益分配比例不得低于基金该年度末可供分配利润的</w:t>
      </w:r>
      <w:r>
        <w:rPr>
          <w:rFonts w:hint="eastAsia"/>
          <w:szCs w:val="24"/>
          <w:lang/>
        </w:rPr>
        <w:t>90%</w:t>
      </w:r>
      <w:r>
        <w:rPr>
          <w:rFonts w:hint="eastAsia"/>
          <w:szCs w:val="24"/>
          <w:lang/>
        </w:rPr>
        <w:t>。</w:t>
      </w:r>
      <w:r>
        <w:rPr>
          <w:rFonts w:hint="eastAsia"/>
          <w:szCs w:val="24"/>
          <w:lang/>
        </w:rPr>
        <w:t xml:space="preserve"> </w:t>
      </w:r>
    </w:p>
    <w:p w:rsidR="00000000" w:rsidRDefault="00E254F7" w:rsidP="00E254F7">
      <w:pPr>
        <w:pStyle w:val="XBRLTitle1"/>
        <w:spacing w:before="156" w:line="360" w:lineRule="auto"/>
        <w:jc w:val="left"/>
        <w:rPr>
          <w:rFonts w:hint="eastAsia"/>
        </w:rPr>
      </w:pPr>
      <w:bookmarkStart w:id="13" w:name="_Toc34322060"/>
      <w:bookmarkStart w:id="14" w:name="_Toc513295893"/>
      <w:bookmarkStart w:id="15" w:name="_Toc513295847"/>
      <w:bookmarkStart w:id="16" w:name="_Toc490050001"/>
      <w:bookmarkStart w:id="17" w:name="_Toc438646452"/>
      <w:bookmarkStart w:id="18" w:name="_Toc481075047"/>
      <w:bookmarkStart w:id="19" w:name="_Toc512519481"/>
      <w:bookmarkStart w:id="20" w:name="_Toc17897937"/>
      <w:bookmarkStart w:id="21" w:name="_Toc17898179"/>
      <w:r>
        <w:rPr>
          <w:rFonts w:hAnsi="宋体" w:hint="eastAsia"/>
          <w:szCs w:val="24"/>
        </w:rPr>
        <w:t>与分红相关的其他信息</w:t>
      </w:r>
      <w:bookmarkEnd w:id="13"/>
      <w:bookmarkEnd w:id="14"/>
      <w:bookmarkEnd w:id="15"/>
      <w:bookmarkEnd w:id="16"/>
      <w:bookmarkEnd w:id="17"/>
      <w:bookmarkEnd w:id="18"/>
      <w:bookmarkEnd w:id="19"/>
      <w:bookmarkEnd w:id="20"/>
      <w:bookmarkEnd w:id="21"/>
      <w:r>
        <w:rPr>
          <w:rFonts w:hAnsi="宋体" w:hint="eastAsia"/>
          <w:szCs w:val="24"/>
        </w:rPr>
        <w:t xml:space="preserve"> </w:t>
      </w:r>
      <w:bookmarkEnd w:id="10"/>
      <w:bookmarkEnd w:id="11"/>
      <w:bookmarkEnd w:id="12"/>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8"/>
        <w:gridCol w:w="4817"/>
      </w:tblGrid>
      <w:tr w:rsidR="00000000">
        <w:tc>
          <w:tcPr>
            <w:tcW w:w="3927" w:type="dxa"/>
            <w:tcBorders>
              <w:top w:val="single" w:sz="4" w:space="0" w:color="auto"/>
              <w:left w:val="single" w:sz="4" w:space="0" w:color="auto"/>
              <w:bottom w:val="single" w:sz="4" w:space="0" w:color="auto"/>
              <w:right w:val="single" w:sz="4" w:space="0" w:color="auto"/>
            </w:tcBorders>
            <w:hideMark/>
          </w:tcPr>
          <w:p w:rsidR="00000000" w:rsidRDefault="00E254F7">
            <w:pPr>
              <w:rPr>
                <w:sz w:val="20"/>
              </w:rPr>
            </w:pPr>
            <w:r>
              <w:rPr>
                <w:rFonts w:hint="eastAsia"/>
                <w:szCs w:val="21"/>
              </w:rPr>
              <w:t>权益登记日</w:t>
            </w:r>
            <w:r>
              <w:rPr>
                <w:rFonts w:hint="eastAsia"/>
                <w:szCs w:val="21"/>
              </w:rPr>
              <w:t xml:space="preserve"> </w:t>
            </w:r>
          </w:p>
        </w:tc>
        <w:tc>
          <w:tcPr>
            <w:tcW w:w="4815" w:type="dxa"/>
            <w:tcBorders>
              <w:top w:val="single" w:sz="4" w:space="0" w:color="auto"/>
              <w:left w:val="single" w:sz="4" w:space="0" w:color="auto"/>
              <w:bottom w:val="single" w:sz="4" w:space="0" w:color="auto"/>
              <w:right w:val="single" w:sz="4" w:space="0" w:color="auto"/>
            </w:tcBorders>
            <w:hideMark/>
          </w:tcPr>
          <w:p w:rsidR="00000000" w:rsidRDefault="00E254F7">
            <w:r>
              <w:rPr>
                <w:rFonts w:hint="eastAsia"/>
                <w:szCs w:val="21"/>
              </w:rPr>
              <w:t>2024</w:t>
            </w:r>
            <w:r>
              <w:rPr>
                <w:rFonts w:hint="eastAsia"/>
                <w:szCs w:val="21"/>
              </w:rPr>
              <w:t>年</w:t>
            </w:r>
            <w:r>
              <w:rPr>
                <w:rFonts w:hint="eastAsia"/>
                <w:szCs w:val="21"/>
              </w:rPr>
              <w:t>4</w:t>
            </w:r>
            <w:r>
              <w:rPr>
                <w:rFonts w:hint="eastAsia"/>
                <w:szCs w:val="21"/>
              </w:rPr>
              <w:t>月</w:t>
            </w:r>
            <w:r>
              <w:rPr>
                <w:rFonts w:hint="eastAsia"/>
                <w:szCs w:val="21"/>
              </w:rPr>
              <w:t>12</w:t>
            </w:r>
            <w:r>
              <w:rPr>
                <w:rFonts w:hint="eastAsia"/>
                <w:szCs w:val="21"/>
              </w:rPr>
              <w:t>日</w:t>
            </w:r>
          </w:p>
        </w:tc>
      </w:tr>
      <w:tr w:rsidR="00000000">
        <w:tc>
          <w:tcPr>
            <w:tcW w:w="3927" w:type="dxa"/>
            <w:tcBorders>
              <w:top w:val="single" w:sz="4" w:space="0" w:color="auto"/>
              <w:left w:val="single" w:sz="4" w:space="0" w:color="auto"/>
              <w:bottom w:val="single" w:sz="4" w:space="0" w:color="auto"/>
              <w:right w:val="single" w:sz="4" w:space="0" w:color="auto"/>
            </w:tcBorders>
            <w:hideMark/>
          </w:tcPr>
          <w:p w:rsidR="00000000" w:rsidRDefault="00E254F7">
            <w:pPr>
              <w:rPr>
                <w:sz w:val="20"/>
              </w:rPr>
            </w:pPr>
            <w:r>
              <w:rPr>
                <w:rFonts w:hint="eastAsia"/>
                <w:szCs w:val="21"/>
              </w:rPr>
              <w:t>除息日</w:t>
            </w:r>
            <w:r>
              <w:rPr>
                <w:rFonts w:hint="eastAsia"/>
                <w:szCs w:val="21"/>
              </w:rPr>
              <w:t xml:space="preserve"> </w:t>
            </w:r>
          </w:p>
        </w:tc>
        <w:tc>
          <w:tcPr>
            <w:tcW w:w="4815" w:type="dxa"/>
            <w:tcBorders>
              <w:top w:val="single" w:sz="4" w:space="0" w:color="auto"/>
              <w:left w:val="single" w:sz="4" w:space="0" w:color="auto"/>
              <w:bottom w:val="single" w:sz="4" w:space="0" w:color="auto"/>
              <w:right w:val="single" w:sz="4" w:space="0" w:color="auto"/>
            </w:tcBorders>
            <w:hideMark/>
          </w:tcPr>
          <w:p w:rsidR="00000000" w:rsidRDefault="00E254F7">
            <w:r>
              <w:rPr>
                <w:rFonts w:hint="eastAsia"/>
                <w:szCs w:val="21"/>
              </w:rPr>
              <w:t>2024</w:t>
            </w:r>
            <w:r>
              <w:rPr>
                <w:rFonts w:hint="eastAsia"/>
                <w:szCs w:val="21"/>
              </w:rPr>
              <w:t>年</w:t>
            </w:r>
            <w:r>
              <w:rPr>
                <w:rFonts w:hint="eastAsia"/>
                <w:szCs w:val="21"/>
              </w:rPr>
              <w:t>4</w:t>
            </w:r>
            <w:r>
              <w:rPr>
                <w:rFonts w:hint="eastAsia"/>
                <w:szCs w:val="21"/>
              </w:rPr>
              <w:t>月</w:t>
            </w:r>
            <w:r>
              <w:rPr>
                <w:rFonts w:hint="eastAsia"/>
                <w:szCs w:val="21"/>
              </w:rPr>
              <w:t>12</w:t>
            </w:r>
            <w:r>
              <w:rPr>
                <w:rFonts w:hint="eastAsia"/>
                <w:szCs w:val="21"/>
              </w:rPr>
              <w:t>日</w:t>
            </w:r>
          </w:p>
        </w:tc>
      </w:tr>
      <w:tr w:rsidR="00000000">
        <w:tc>
          <w:tcPr>
            <w:tcW w:w="3927" w:type="dxa"/>
            <w:tcBorders>
              <w:top w:val="single" w:sz="4" w:space="0" w:color="auto"/>
              <w:left w:val="single" w:sz="4" w:space="0" w:color="auto"/>
              <w:bottom w:val="single" w:sz="4" w:space="0" w:color="auto"/>
              <w:right w:val="single" w:sz="4" w:space="0" w:color="auto"/>
            </w:tcBorders>
            <w:hideMark/>
          </w:tcPr>
          <w:p w:rsidR="00000000" w:rsidRDefault="00E254F7">
            <w:pPr>
              <w:rPr>
                <w:sz w:val="20"/>
              </w:rPr>
            </w:pPr>
            <w:r>
              <w:rPr>
                <w:rFonts w:hint="eastAsia"/>
                <w:szCs w:val="21"/>
              </w:rPr>
              <w:t>现金红利发放日</w:t>
            </w:r>
            <w:r>
              <w:rPr>
                <w:rFonts w:hint="eastAsia"/>
                <w:szCs w:val="21"/>
              </w:rPr>
              <w:t xml:space="preserve"> </w:t>
            </w:r>
          </w:p>
        </w:tc>
        <w:tc>
          <w:tcPr>
            <w:tcW w:w="4815" w:type="dxa"/>
            <w:tcBorders>
              <w:top w:val="single" w:sz="4" w:space="0" w:color="auto"/>
              <w:left w:val="single" w:sz="4" w:space="0" w:color="auto"/>
              <w:bottom w:val="single" w:sz="4" w:space="0" w:color="auto"/>
              <w:right w:val="single" w:sz="4" w:space="0" w:color="auto"/>
            </w:tcBorders>
            <w:hideMark/>
          </w:tcPr>
          <w:p w:rsidR="00000000" w:rsidRDefault="00E254F7">
            <w:r>
              <w:rPr>
                <w:rFonts w:hint="eastAsia"/>
                <w:szCs w:val="21"/>
              </w:rPr>
              <w:t>2024</w:t>
            </w:r>
            <w:r>
              <w:rPr>
                <w:rFonts w:hint="eastAsia"/>
                <w:szCs w:val="21"/>
              </w:rPr>
              <w:t>年</w:t>
            </w:r>
            <w:r>
              <w:rPr>
                <w:rFonts w:hint="eastAsia"/>
                <w:szCs w:val="21"/>
              </w:rPr>
              <w:t>4</w:t>
            </w:r>
            <w:r>
              <w:rPr>
                <w:rFonts w:hint="eastAsia"/>
                <w:szCs w:val="21"/>
              </w:rPr>
              <w:t>月</w:t>
            </w:r>
            <w:r>
              <w:rPr>
                <w:rFonts w:hint="eastAsia"/>
                <w:szCs w:val="21"/>
              </w:rPr>
              <w:t>15</w:t>
            </w:r>
            <w:r>
              <w:rPr>
                <w:rFonts w:hint="eastAsia"/>
                <w:szCs w:val="21"/>
              </w:rPr>
              <w:t>日</w:t>
            </w:r>
          </w:p>
        </w:tc>
      </w:tr>
      <w:tr w:rsidR="00000000">
        <w:tc>
          <w:tcPr>
            <w:tcW w:w="3927" w:type="dxa"/>
            <w:tcBorders>
              <w:top w:val="single" w:sz="4" w:space="0" w:color="auto"/>
              <w:left w:val="single" w:sz="4" w:space="0" w:color="auto"/>
              <w:bottom w:val="single" w:sz="4" w:space="0" w:color="auto"/>
              <w:right w:val="single" w:sz="4" w:space="0" w:color="auto"/>
            </w:tcBorders>
            <w:hideMark/>
          </w:tcPr>
          <w:p w:rsidR="00000000" w:rsidRDefault="00E254F7">
            <w:pPr>
              <w:rPr>
                <w:sz w:val="20"/>
              </w:rPr>
            </w:pPr>
            <w:r>
              <w:rPr>
                <w:rFonts w:hint="eastAsia"/>
                <w:szCs w:val="21"/>
              </w:rPr>
              <w:t>分红对象</w:t>
            </w:r>
            <w:r>
              <w:rPr>
                <w:rFonts w:hint="eastAsia"/>
                <w:szCs w:val="21"/>
              </w:rPr>
              <w:t xml:space="preserve"> </w:t>
            </w:r>
          </w:p>
        </w:tc>
        <w:tc>
          <w:tcPr>
            <w:tcW w:w="4815" w:type="dxa"/>
            <w:tcBorders>
              <w:top w:val="single" w:sz="4" w:space="0" w:color="auto"/>
              <w:left w:val="single" w:sz="4" w:space="0" w:color="auto"/>
              <w:bottom w:val="single" w:sz="4" w:space="0" w:color="auto"/>
              <w:right w:val="single" w:sz="4" w:space="0" w:color="auto"/>
            </w:tcBorders>
            <w:hideMark/>
          </w:tcPr>
          <w:p w:rsidR="00000000" w:rsidRDefault="00E254F7">
            <w:r>
              <w:rPr>
                <w:rFonts w:hint="eastAsia"/>
                <w:szCs w:val="21"/>
              </w:rPr>
              <w:t>权益登记日在本基金注册登记机构登记在册的本基金全体基金份额持有</w:t>
            </w:r>
            <w:r>
              <w:rPr>
                <w:rFonts w:hint="eastAsia"/>
                <w:szCs w:val="21"/>
              </w:rPr>
              <w:t>人</w:t>
            </w:r>
          </w:p>
        </w:tc>
      </w:tr>
      <w:tr w:rsidR="00000000">
        <w:tc>
          <w:tcPr>
            <w:tcW w:w="3927" w:type="dxa"/>
            <w:tcBorders>
              <w:top w:val="single" w:sz="4" w:space="0" w:color="auto"/>
              <w:left w:val="single" w:sz="4" w:space="0" w:color="auto"/>
              <w:bottom w:val="single" w:sz="4" w:space="0" w:color="auto"/>
              <w:right w:val="single" w:sz="4" w:space="0" w:color="auto"/>
            </w:tcBorders>
            <w:vAlign w:val="center"/>
            <w:hideMark/>
          </w:tcPr>
          <w:p w:rsidR="00000000" w:rsidRDefault="00E254F7">
            <w:pPr>
              <w:rPr>
                <w:sz w:val="20"/>
              </w:rPr>
            </w:pPr>
            <w:r>
              <w:rPr>
                <w:rFonts w:hint="eastAsia"/>
                <w:szCs w:val="21"/>
              </w:rPr>
              <w:t>红利再投资相关事项的说明</w:t>
            </w:r>
            <w:r>
              <w:rPr>
                <w:rFonts w:hint="eastAsia"/>
                <w:szCs w:val="21"/>
              </w:rPr>
              <w:t xml:space="preserve"> </w:t>
            </w:r>
          </w:p>
        </w:tc>
        <w:tc>
          <w:tcPr>
            <w:tcW w:w="4815" w:type="dxa"/>
            <w:tcBorders>
              <w:top w:val="single" w:sz="4" w:space="0" w:color="auto"/>
              <w:left w:val="single" w:sz="4" w:space="0" w:color="auto"/>
              <w:bottom w:val="single" w:sz="4" w:space="0" w:color="auto"/>
              <w:right w:val="single" w:sz="4" w:space="0" w:color="auto"/>
            </w:tcBorders>
            <w:hideMark/>
          </w:tcPr>
          <w:p w:rsidR="00000000" w:rsidRDefault="00E254F7">
            <w:r>
              <w:rPr>
                <w:rFonts w:hint="eastAsia"/>
                <w:szCs w:val="21"/>
              </w:rPr>
              <w:t>选择现金红利再投资的投资者将其现金红利转基金份额的基金份额净值确定日为：</w:t>
            </w:r>
            <w:r>
              <w:rPr>
                <w:rFonts w:hint="eastAsia"/>
                <w:szCs w:val="21"/>
              </w:rPr>
              <w:t>2024</w:t>
            </w:r>
            <w:r>
              <w:rPr>
                <w:rFonts w:hint="eastAsia"/>
                <w:szCs w:val="21"/>
              </w:rPr>
              <w:t>年</w:t>
            </w:r>
            <w:r>
              <w:rPr>
                <w:rFonts w:hint="eastAsia"/>
                <w:szCs w:val="21"/>
              </w:rPr>
              <w:t>4</w:t>
            </w:r>
            <w:r>
              <w:rPr>
                <w:rFonts w:hint="eastAsia"/>
                <w:szCs w:val="21"/>
              </w:rPr>
              <w:t>月</w:t>
            </w:r>
            <w:r>
              <w:rPr>
                <w:rFonts w:hint="eastAsia"/>
                <w:szCs w:val="21"/>
              </w:rPr>
              <w:t>12</w:t>
            </w:r>
            <w:r>
              <w:rPr>
                <w:rFonts w:hint="eastAsia"/>
                <w:szCs w:val="21"/>
              </w:rPr>
              <w:t>日，选择现金红利再投资方式的投资者其红利再投资的基金份额将于</w:t>
            </w:r>
            <w:r>
              <w:rPr>
                <w:rFonts w:hint="eastAsia"/>
                <w:szCs w:val="21"/>
              </w:rPr>
              <w:t>2024</w:t>
            </w:r>
            <w:r>
              <w:rPr>
                <w:rFonts w:hint="eastAsia"/>
                <w:szCs w:val="21"/>
              </w:rPr>
              <w:t>年</w:t>
            </w:r>
            <w:r>
              <w:rPr>
                <w:rFonts w:hint="eastAsia"/>
                <w:szCs w:val="21"/>
              </w:rPr>
              <w:t>4</w:t>
            </w:r>
            <w:r>
              <w:rPr>
                <w:rFonts w:hint="eastAsia"/>
                <w:szCs w:val="21"/>
              </w:rPr>
              <w:t>月</w:t>
            </w:r>
            <w:r>
              <w:rPr>
                <w:rFonts w:hint="eastAsia"/>
                <w:szCs w:val="21"/>
              </w:rPr>
              <w:t>15</w:t>
            </w:r>
            <w:r>
              <w:rPr>
                <w:rFonts w:hint="eastAsia"/>
                <w:szCs w:val="21"/>
              </w:rPr>
              <w:t>日直接计入其基金账户，</w:t>
            </w:r>
            <w:r>
              <w:rPr>
                <w:rFonts w:hint="eastAsia"/>
                <w:szCs w:val="21"/>
              </w:rPr>
              <w:t>2024</w:t>
            </w:r>
            <w:r>
              <w:rPr>
                <w:rFonts w:hint="eastAsia"/>
                <w:szCs w:val="21"/>
              </w:rPr>
              <w:t>年</w:t>
            </w:r>
            <w:r>
              <w:rPr>
                <w:rFonts w:hint="eastAsia"/>
                <w:szCs w:val="21"/>
              </w:rPr>
              <w:t>4</w:t>
            </w:r>
            <w:r>
              <w:rPr>
                <w:rFonts w:hint="eastAsia"/>
                <w:szCs w:val="21"/>
              </w:rPr>
              <w:t>月</w:t>
            </w:r>
            <w:r>
              <w:rPr>
                <w:rFonts w:hint="eastAsia"/>
                <w:szCs w:val="21"/>
              </w:rPr>
              <w:t>16</w:t>
            </w:r>
            <w:r>
              <w:rPr>
                <w:rFonts w:hint="eastAsia"/>
                <w:szCs w:val="21"/>
              </w:rPr>
              <w:t>日起可以查询、赎回</w:t>
            </w:r>
            <w:r>
              <w:rPr>
                <w:rFonts w:hint="eastAsia"/>
                <w:szCs w:val="21"/>
              </w:rPr>
              <w:t>。</w:t>
            </w:r>
          </w:p>
        </w:tc>
      </w:tr>
      <w:tr w:rsidR="00000000">
        <w:tc>
          <w:tcPr>
            <w:tcW w:w="3927" w:type="dxa"/>
            <w:tcBorders>
              <w:top w:val="single" w:sz="4" w:space="0" w:color="auto"/>
              <w:left w:val="single" w:sz="4" w:space="0" w:color="auto"/>
              <w:bottom w:val="single" w:sz="4" w:space="0" w:color="auto"/>
              <w:right w:val="single" w:sz="4" w:space="0" w:color="auto"/>
            </w:tcBorders>
            <w:hideMark/>
          </w:tcPr>
          <w:p w:rsidR="00000000" w:rsidRDefault="00E254F7">
            <w:pPr>
              <w:rPr>
                <w:sz w:val="20"/>
              </w:rPr>
            </w:pPr>
            <w:r>
              <w:rPr>
                <w:rFonts w:hint="eastAsia"/>
                <w:szCs w:val="21"/>
              </w:rPr>
              <w:t>税收相关事项的说明</w:t>
            </w:r>
            <w:r>
              <w:rPr>
                <w:rFonts w:hint="eastAsia"/>
                <w:szCs w:val="21"/>
              </w:rPr>
              <w:t xml:space="preserve"> </w:t>
            </w:r>
          </w:p>
        </w:tc>
        <w:tc>
          <w:tcPr>
            <w:tcW w:w="4815" w:type="dxa"/>
            <w:tcBorders>
              <w:top w:val="single" w:sz="4" w:space="0" w:color="auto"/>
              <w:left w:val="single" w:sz="4" w:space="0" w:color="auto"/>
              <w:bottom w:val="single" w:sz="4" w:space="0" w:color="auto"/>
              <w:right w:val="single" w:sz="4" w:space="0" w:color="auto"/>
            </w:tcBorders>
            <w:hideMark/>
          </w:tcPr>
          <w:p w:rsidR="00000000" w:rsidRDefault="00E254F7">
            <w:r>
              <w:rPr>
                <w:rFonts w:hint="eastAsia"/>
                <w:szCs w:val="21"/>
              </w:rPr>
              <w:t>根据财政部、国家税务总局的相关规定，基金向投资者分配的基金收益暂免征收所得税</w:t>
            </w:r>
            <w:r>
              <w:rPr>
                <w:rFonts w:hint="eastAsia"/>
                <w:szCs w:val="21"/>
              </w:rPr>
              <w:t>。</w:t>
            </w:r>
          </w:p>
        </w:tc>
      </w:tr>
      <w:tr w:rsidR="00000000">
        <w:tc>
          <w:tcPr>
            <w:tcW w:w="3927" w:type="dxa"/>
            <w:tcBorders>
              <w:top w:val="single" w:sz="4" w:space="0" w:color="auto"/>
              <w:left w:val="single" w:sz="4" w:space="0" w:color="auto"/>
              <w:bottom w:val="single" w:sz="4" w:space="0" w:color="auto"/>
              <w:right w:val="single" w:sz="4" w:space="0" w:color="auto"/>
            </w:tcBorders>
            <w:hideMark/>
          </w:tcPr>
          <w:p w:rsidR="00000000" w:rsidRDefault="00E254F7">
            <w:pPr>
              <w:rPr>
                <w:sz w:val="20"/>
              </w:rPr>
            </w:pPr>
            <w:r>
              <w:rPr>
                <w:rFonts w:hint="eastAsia"/>
                <w:szCs w:val="21"/>
              </w:rPr>
              <w:t>费用相关事项的说明</w:t>
            </w:r>
            <w:r>
              <w:rPr>
                <w:rFonts w:hint="eastAsia"/>
                <w:szCs w:val="21"/>
              </w:rPr>
              <w:t xml:space="preserve"> </w:t>
            </w:r>
          </w:p>
        </w:tc>
        <w:tc>
          <w:tcPr>
            <w:tcW w:w="4815" w:type="dxa"/>
            <w:tcBorders>
              <w:top w:val="single" w:sz="4" w:space="0" w:color="auto"/>
              <w:left w:val="single" w:sz="4" w:space="0" w:color="auto"/>
              <w:bottom w:val="single" w:sz="4" w:space="0" w:color="auto"/>
              <w:right w:val="single" w:sz="4" w:space="0" w:color="auto"/>
            </w:tcBorders>
            <w:hideMark/>
          </w:tcPr>
          <w:p w:rsidR="00000000" w:rsidRDefault="00E254F7">
            <w:r>
              <w:rPr>
                <w:rFonts w:hint="eastAsia"/>
                <w:szCs w:val="21"/>
              </w:rPr>
              <w:t>本次分红免收分红手续费；选择现金红利再投资方式的投资者其现金红利再投资的基金份额免收申购费用</w:t>
            </w:r>
            <w:r>
              <w:rPr>
                <w:rFonts w:hint="eastAsia"/>
                <w:szCs w:val="21"/>
              </w:rPr>
              <w:t>。</w:t>
            </w:r>
          </w:p>
        </w:tc>
      </w:tr>
    </w:tbl>
    <w:p w:rsidR="00000000" w:rsidRDefault="00E254F7" w:rsidP="00E254F7">
      <w:pPr>
        <w:pStyle w:val="XBRLTitle1"/>
        <w:spacing w:before="156" w:line="360" w:lineRule="auto"/>
        <w:jc w:val="left"/>
        <w:rPr>
          <w:rFonts w:hint="eastAsia"/>
        </w:rPr>
      </w:pPr>
      <w:bookmarkStart w:id="22" w:name="_Toc34322063"/>
      <w:bookmarkStart w:id="23" w:name="_Toc513295941"/>
      <w:bookmarkStart w:id="24" w:name="_Toc513295878"/>
      <w:bookmarkStart w:id="25" w:name="_Toc438646481"/>
      <w:bookmarkStart w:id="26" w:name="_Toc481075097"/>
      <w:bookmarkStart w:id="27" w:name="_Toc490050049"/>
      <w:bookmarkStart w:id="28" w:name="_Toc512519529"/>
      <w:bookmarkStart w:id="29" w:name="_Toc17897969"/>
      <w:bookmarkStart w:id="30" w:name="_Toc17898228"/>
      <w:bookmarkStart w:id="31" w:name="m201_01"/>
      <w:r>
        <w:rPr>
          <w:rFonts w:hAnsi="宋体" w:hint="eastAsia"/>
          <w:szCs w:val="24"/>
        </w:rPr>
        <w:t>其他需要提示的事项</w:t>
      </w:r>
      <w:bookmarkEnd w:id="22"/>
      <w:bookmarkEnd w:id="23"/>
      <w:bookmarkEnd w:id="24"/>
      <w:bookmarkEnd w:id="25"/>
      <w:bookmarkEnd w:id="26"/>
      <w:bookmarkEnd w:id="27"/>
      <w:bookmarkEnd w:id="28"/>
      <w:bookmarkEnd w:id="29"/>
      <w:bookmarkEnd w:id="30"/>
      <w:r>
        <w:rPr>
          <w:rFonts w:hAnsi="宋体" w:hint="eastAsia"/>
          <w:szCs w:val="24"/>
        </w:rPr>
        <w:t xml:space="preserve"> </w:t>
      </w:r>
    </w:p>
    <w:p w:rsidR="00000000" w:rsidRDefault="00E254F7">
      <w:pPr>
        <w:spacing w:line="360" w:lineRule="auto"/>
        <w:ind w:firstLineChars="200" w:firstLine="420"/>
        <w:jc w:val="left"/>
        <w:rPr>
          <w:rFonts w:hint="eastAsia"/>
        </w:rPr>
      </w:pPr>
      <w:r>
        <w:rPr>
          <w:rFonts w:hint="eastAsia"/>
          <w:szCs w:val="21"/>
        </w:rPr>
        <w:t>1</w:t>
      </w:r>
      <w:r>
        <w:rPr>
          <w:rFonts w:hint="eastAsia"/>
          <w:szCs w:val="21"/>
        </w:rPr>
        <w:t>、权益登记日申请申购的基金份额不享有本次分红，权益登记日申请赎回的基金份额享有本次分红。</w:t>
      </w:r>
      <w:r>
        <w:rPr>
          <w:rFonts w:hint="eastAsia"/>
          <w:szCs w:val="21"/>
        </w:rPr>
        <w:br/>
      </w:r>
      <w:r>
        <w:rPr>
          <w:rFonts w:hint="eastAsia"/>
          <w:szCs w:val="21"/>
        </w:rPr>
        <w:t xml:space="preserve">　　</w:t>
      </w:r>
      <w:r>
        <w:rPr>
          <w:rFonts w:hint="eastAsia"/>
          <w:szCs w:val="21"/>
        </w:rPr>
        <w:t>2</w:t>
      </w:r>
      <w:r>
        <w:rPr>
          <w:rFonts w:hint="eastAsia"/>
          <w:szCs w:val="21"/>
        </w:rPr>
        <w:t>、对于未选择具体分红方式的投资者，本基金默认的分红方式为现金分红。投资者可以在基金开放日的交易时间内到销售网点修改分红方式。本次分红确认的方式将按照投资者在权益登记日</w:t>
      </w:r>
      <w:r>
        <w:rPr>
          <w:rFonts w:hint="eastAsia"/>
          <w:szCs w:val="21"/>
        </w:rPr>
        <w:t>2024</w:t>
      </w:r>
      <w:r>
        <w:rPr>
          <w:rFonts w:hint="eastAsia"/>
          <w:szCs w:val="21"/>
        </w:rPr>
        <w:t>年</w:t>
      </w:r>
      <w:r>
        <w:rPr>
          <w:rFonts w:hint="eastAsia"/>
          <w:szCs w:val="21"/>
        </w:rPr>
        <w:t>4</w:t>
      </w:r>
      <w:r>
        <w:rPr>
          <w:rFonts w:hint="eastAsia"/>
          <w:szCs w:val="21"/>
        </w:rPr>
        <w:t>月</w:t>
      </w:r>
      <w:r>
        <w:rPr>
          <w:rFonts w:hint="eastAsia"/>
          <w:szCs w:val="21"/>
        </w:rPr>
        <w:t>12</w:t>
      </w:r>
      <w:r>
        <w:rPr>
          <w:rFonts w:hint="eastAsia"/>
          <w:szCs w:val="21"/>
        </w:rPr>
        <w:t>日之前（不含</w:t>
      </w:r>
      <w:r>
        <w:rPr>
          <w:rFonts w:hint="eastAsia"/>
          <w:szCs w:val="21"/>
        </w:rPr>
        <w:t>2024</w:t>
      </w:r>
      <w:r>
        <w:rPr>
          <w:rFonts w:hint="eastAsia"/>
          <w:szCs w:val="21"/>
        </w:rPr>
        <w:t>年</w:t>
      </w:r>
      <w:r>
        <w:rPr>
          <w:rFonts w:hint="eastAsia"/>
          <w:szCs w:val="21"/>
        </w:rPr>
        <w:t>4</w:t>
      </w:r>
      <w:r>
        <w:rPr>
          <w:rFonts w:hint="eastAsia"/>
          <w:szCs w:val="21"/>
        </w:rPr>
        <w:t>月</w:t>
      </w:r>
      <w:r>
        <w:rPr>
          <w:rFonts w:hint="eastAsia"/>
          <w:szCs w:val="21"/>
        </w:rPr>
        <w:t>12</w:t>
      </w:r>
      <w:r>
        <w:rPr>
          <w:rFonts w:hint="eastAsia"/>
          <w:szCs w:val="21"/>
        </w:rPr>
        <w:t>日）最后一次选择的分红方式为准。投资者可通过销售网点或通过华泰柏瑞基金管理有限公司</w:t>
      </w:r>
      <w:r>
        <w:rPr>
          <w:rFonts w:hint="eastAsia"/>
          <w:szCs w:val="21"/>
        </w:rPr>
        <w:t>的网站及客服热线查询所持有基金份额的分红方式，如需修改分红方式，请务必在规定时间前通过销售网点办理变更手续。</w:t>
      </w:r>
      <w:r>
        <w:rPr>
          <w:rFonts w:hint="eastAsia"/>
          <w:szCs w:val="21"/>
        </w:rPr>
        <w:br/>
      </w:r>
      <w:r>
        <w:rPr>
          <w:rFonts w:hint="eastAsia"/>
          <w:szCs w:val="21"/>
        </w:rPr>
        <w:t xml:space="preserve">　　</w:t>
      </w:r>
      <w:r>
        <w:rPr>
          <w:rFonts w:hint="eastAsia"/>
          <w:szCs w:val="21"/>
        </w:rPr>
        <w:t>3</w:t>
      </w:r>
      <w:r>
        <w:rPr>
          <w:rFonts w:hint="eastAsia"/>
          <w:szCs w:val="21"/>
        </w:rPr>
        <w:t>、本次分红不会改变本基金的风险收益特征，也不会降低本基金的投资风险或提高本基金的投资收益。</w:t>
      </w:r>
    </w:p>
    <w:p w:rsidR="00000000" w:rsidRDefault="00E254F7">
      <w:pPr>
        <w:spacing w:line="360" w:lineRule="auto"/>
        <w:ind w:firstLineChars="600" w:firstLine="1446"/>
        <w:jc w:val="right"/>
        <w:rPr>
          <w:rFonts w:hint="eastAsia"/>
          <w:b/>
          <w:bCs/>
          <w:sz w:val="24"/>
          <w:szCs w:val="30"/>
        </w:rPr>
      </w:pPr>
      <w:r>
        <w:rPr>
          <w:rFonts w:hint="eastAsia"/>
          <w:b/>
          <w:bCs/>
          <w:sz w:val="24"/>
          <w:szCs w:val="30"/>
        </w:rPr>
        <w:t xml:space="preserve">　</w:t>
      </w:r>
      <w:r>
        <w:rPr>
          <w:rFonts w:hint="eastAsia"/>
          <w:b/>
          <w:bCs/>
          <w:sz w:val="24"/>
          <w:szCs w:val="30"/>
        </w:rPr>
        <w:t xml:space="preserve"> </w:t>
      </w:r>
    </w:p>
    <w:p w:rsidR="00000000" w:rsidRDefault="00E254F7">
      <w:pPr>
        <w:spacing w:line="360" w:lineRule="auto"/>
        <w:ind w:firstLineChars="600" w:firstLine="1446"/>
        <w:jc w:val="right"/>
        <w:rPr>
          <w:rFonts w:hint="eastAsia"/>
          <w:b/>
          <w:bCs/>
          <w:sz w:val="24"/>
          <w:szCs w:val="30"/>
        </w:rPr>
      </w:pPr>
      <w:r>
        <w:rPr>
          <w:rFonts w:hint="eastAsia"/>
          <w:b/>
          <w:bCs/>
          <w:sz w:val="24"/>
          <w:szCs w:val="30"/>
        </w:rPr>
        <w:t xml:space="preserve">　</w:t>
      </w:r>
      <w:r>
        <w:rPr>
          <w:rFonts w:hint="eastAsia"/>
          <w:b/>
          <w:bCs/>
          <w:sz w:val="24"/>
          <w:szCs w:val="30"/>
        </w:rPr>
        <w:t xml:space="preserve"> </w:t>
      </w:r>
    </w:p>
    <w:p w:rsidR="00000000" w:rsidRDefault="00E254F7">
      <w:pPr>
        <w:spacing w:line="360" w:lineRule="auto"/>
        <w:ind w:firstLineChars="600" w:firstLine="1446"/>
        <w:jc w:val="right"/>
        <w:rPr>
          <w:rFonts w:hint="eastAsia"/>
        </w:rPr>
      </w:pPr>
      <w:r>
        <w:rPr>
          <w:rFonts w:hint="eastAsia"/>
          <w:b/>
          <w:bCs/>
          <w:sz w:val="24"/>
          <w:szCs w:val="24"/>
        </w:rPr>
        <w:t>华泰柏瑞基金管理有限公</w:t>
      </w:r>
      <w:r>
        <w:rPr>
          <w:rFonts w:hint="eastAsia"/>
          <w:b/>
          <w:bCs/>
          <w:sz w:val="24"/>
          <w:szCs w:val="24"/>
        </w:rPr>
        <w:t>司</w:t>
      </w:r>
    </w:p>
    <w:p w:rsidR="00000000" w:rsidRDefault="00E254F7">
      <w:pPr>
        <w:spacing w:line="360" w:lineRule="auto"/>
        <w:ind w:firstLineChars="600" w:firstLine="1446"/>
        <w:jc w:val="right"/>
        <w:rPr>
          <w:rFonts w:hint="eastAsia"/>
        </w:rPr>
      </w:pPr>
      <w:r>
        <w:rPr>
          <w:rFonts w:hint="eastAsia"/>
          <w:b/>
          <w:bCs/>
          <w:sz w:val="24"/>
          <w:szCs w:val="24"/>
        </w:rPr>
        <w:t>202</w:t>
      </w:r>
      <w:r>
        <w:rPr>
          <w:rFonts w:hint="eastAsia"/>
          <w:b/>
          <w:bCs/>
          <w:sz w:val="24"/>
          <w:szCs w:val="24"/>
        </w:rPr>
        <w:t>4</w:t>
      </w:r>
      <w:r>
        <w:rPr>
          <w:rFonts w:hint="eastAsia"/>
          <w:b/>
          <w:bCs/>
          <w:sz w:val="24"/>
          <w:szCs w:val="24"/>
        </w:rPr>
        <w:t>年</w:t>
      </w:r>
      <w:r>
        <w:rPr>
          <w:rFonts w:hint="eastAsia"/>
          <w:b/>
          <w:bCs/>
          <w:sz w:val="24"/>
          <w:szCs w:val="24"/>
        </w:rPr>
        <w:t>4</w:t>
      </w:r>
      <w:r>
        <w:rPr>
          <w:rFonts w:hint="eastAsia"/>
          <w:b/>
          <w:bCs/>
          <w:sz w:val="24"/>
          <w:szCs w:val="24"/>
        </w:rPr>
        <w:t>月</w:t>
      </w:r>
      <w:r>
        <w:rPr>
          <w:rFonts w:hint="eastAsia"/>
          <w:b/>
          <w:bCs/>
          <w:sz w:val="24"/>
          <w:szCs w:val="24"/>
        </w:rPr>
        <w:t>11</w:t>
      </w:r>
      <w:r>
        <w:rPr>
          <w:rFonts w:hint="eastAsia"/>
          <w:b/>
          <w:bCs/>
          <w:sz w:val="24"/>
          <w:szCs w:val="24"/>
        </w:rPr>
        <w:t>日</w:t>
      </w:r>
      <w:bookmarkEnd w:id="31"/>
    </w:p>
    <w:sectPr w:rsidR="00000000">
      <w:headerReference w:type="default" r:id="rId8"/>
      <w:footerReference w:type="default" r:id="rId9"/>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E254F7">
      <w:pPr>
        <w:rPr>
          <w:rFonts w:hint="eastAsia"/>
          <w:szCs w:val="21"/>
        </w:rPr>
      </w:pPr>
      <w:r>
        <w:rPr>
          <w:rFonts w:ascii="Times New Roman" w:hAnsi="Times New Roman" w:cs="Times New Roman"/>
          <w:szCs w:val="21"/>
        </w:rPr>
        <w:separator/>
      </w:r>
      <w:r>
        <w:rPr>
          <w:rFonts w:ascii="Times New Roman" w:hAnsi="Times New Roman" w:cs="Times New Roman"/>
          <w:szCs w:val="21"/>
        </w:rPr>
        <w:t xml:space="preserve"> </w:t>
      </w:r>
    </w:p>
  </w:endnote>
  <w:endnote w:type="continuationSeparator" w:id="0">
    <w:p w:rsidR="00000000" w:rsidRDefault="00E254F7">
      <w:pPr>
        <w:rPr>
          <w:rFonts w:hint="eastAsia"/>
          <w:szCs w:val="21"/>
        </w:rPr>
      </w:pPr>
      <w:r>
        <w:rPr>
          <w:rFonts w:ascii="Times New Roman" w:hAnsi="Times New Roman" w:cs="Times New Roman"/>
          <w:szCs w:val="21"/>
        </w:rPr>
        <w:continuationSeparator/>
      </w:r>
      <w:r>
        <w:rPr>
          <w:rFonts w:ascii="Times New Roman" w:hAnsi="Times New Roman" w:cs="Times New Roman"/>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254F7">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Pr>
        <w:noProof/>
        <w:sz w:val="18"/>
        <w:szCs w:val="18"/>
      </w:rPr>
      <w:t>2</w:t>
    </w:r>
    <w:r>
      <w:rPr>
        <w:rFonts w:hint="eastAsia"/>
        <w:sz w:val="18"/>
        <w:szCs w:val="18"/>
      </w:rPr>
      <w:fldChar w:fldCharType="end"/>
    </w:r>
    <w:r>
      <w:rPr>
        <w:rFonts w:hint="eastAsia"/>
        <w:sz w:val="18"/>
        <w:szCs w:val="18"/>
        <w:lang w:val="zh-CN"/>
      </w:rPr>
      <w:t>页</w:t>
    </w:r>
    <w:r>
      <w:rPr>
        <w:rFonts w:hint="eastAsia"/>
        <w:sz w:val="18"/>
        <w:szCs w:val="18"/>
        <w:lang w:val="zh-CN"/>
      </w:rPr>
      <w:t xml:space="preserve"> </w:t>
    </w:r>
    <w:r>
      <w:rPr>
        <w:rFonts w:hint="eastAsia"/>
        <w:sz w:val="18"/>
        <w:szCs w:val="18"/>
        <w:lang w:val="zh-CN"/>
      </w:rPr>
      <w:t>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Pr>
        <w:noProof/>
        <w:sz w:val="18"/>
        <w:szCs w:val="18"/>
      </w:rPr>
      <w:t>2</w:t>
    </w:r>
    <w:r>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E254F7">
      <w:pPr>
        <w:rPr>
          <w:szCs w:val="21"/>
        </w:rPr>
      </w:pPr>
      <w:r>
        <w:rPr>
          <w:rFonts w:ascii="Times New Roman" w:hAnsi="Times New Roman" w:cs="Times New Roman"/>
          <w:szCs w:val="21"/>
        </w:rPr>
        <w:separator/>
      </w:r>
      <w:r>
        <w:rPr>
          <w:rFonts w:ascii="Times New Roman" w:hAnsi="Times New Roman" w:cs="Times New Roman"/>
          <w:szCs w:val="21"/>
        </w:rPr>
        <w:t xml:space="preserve"> </w:t>
      </w:r>
    </w:p>
  </w:footnote>
  <w:footnote w:type="continuationSeparator" w:id="0">
    <w:p w:rsidR="00000000" w:rsidRDefault="00E254F7">
      <w:pPr>
        <w:rPr>
          <w:rFonts w:hint="eastAsia"/>
          <w:szCs w:val="21"/>
        </w:rPr>
      </w:pPr>
      <w:r>
        <w:rPr>
          <w:rFonts w:ascii="Times New Roman" w:hAnsi="Times New Roman" w:cs="Times New Roman"/>
          <w:szCs w:val="21"/>
        </w:rPr>
        <w:continuationSeparator/>
      </w:r>
      <w:r>
        <w:rPr>
          <w:rFonts w:ascii="Times New Roman" w:hAnsi="Times New Roman" w:cs="Times New Roman"/>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254F7">
    <w:pPr>
      <w:pStyle w:val="a7"/>
      <w:jc w:val="right"/>
      <w:rPr>
        <w:rFonts w:hint="eastAsia"/>
        <w:sz w:val="15"/>
        <w:szCs w:val="15"/>
      </w:rPr>
    </w:pPr>
    <w:r>
      <w:rPr>
        <w:rFonts w:hint="eastAsia"/>
      </w:rPr>
      <w:t>华泰柏瑞季季红债券型证券投资基金分红公告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04A17E2"/>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4577"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54F7"/>
    <w:rsid w:val="00E254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Char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Char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Char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Char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Char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Char1"/>
    <w:uiPriority w:val="9"/>
    <w:semiHidden/>
    <w:unhideWhenUsed/>
    <w:qFormat/>
    <w:pPr>
      <w:keepNext/>
      <w:keepLines/>
      <w:spacing w:before="240" w:after="64" w:line="312"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themeColor="followedHyperlink"/>
      <w:u w:val="single"/>
    </w:rPr>
  </w:style>
  <w:style w:type="character" w:customStyle="1" w:styleId="1Char">
    <w:name w:val="标题 1 Char"/>
    <w:basedOn w:val="a0"/>
    <w:link w:val="1"/>
    <w:uiPriority w:val="9"/>
    <w:locked/>
    <w:rPr>
      <w:b/>
      <w:bCs/>
      <w:kern w:val="44"/>
      <w:sz w:val="44"/>
      <w:szCs w:val="44"/>
    </w:rPr>
  </w:style>
  <w:style w:type="character" w:customStyle="1" w:styleId="2Char">
    <w:name w:val="标题 2 Char"/>
    <w:basedOn w:val="a0"/>
    <w:link w:val="2"/>
    <w:uiPriority w:val="9"/>
    <w:locked/>
    <w:rPr>
      <w:rFonts w:asciiTheme="majorHAnsi" w:eastAsiaTheme="majorEastAsia" w:hAnsiTheme="majorHAnsi" w:cstheme="majorBidi" w:hint="default"/>
      <w:b/>
      <w:bCs/>
      <w:kern w:val="2"/>
      <w:sz w:val="32"/>
      <w:szCs w:val="32"/>
    </w:rPr>
  </w:style>
  <w:style w:type="character" w:customStyle="1" w:styleId="3Char">
    <w:name w:val="标题 3 Char"/>
    <w:basedOn w:val="a0"/>
    <w:link w:val="3"/>
    <w:uiPriority w:val="9"/>
    <w:locked/>
    <w:rPr>
      <w:b/>
      <w:bCs/>
      <w:kern w:val="2"/>
      <w:sz w:val="32"/>
      <w:szCs w:val="32"/>
    </w:rPr>
  </w:style>
  <w:style w:type="character" w:customStyle="1" w:styleId="4Char">
    <w:name w:val="标题 4 Char"/>
    <w:basedOn w:val="a0"/>
    <w:link w:val="4"/>
    <w:locked/>
    <w:rPr>
      <w:rFonts w:asciiTheme="majorHAnsi" w:eastAsiaTheme="majorEastAsia" w:hAnsiTheme="majorHAnsi" w:cstheme="majorBidi" w:hint="default"/>
      <w:b/>
      <w:bCs/>
      <w:kern w:val="2"/>
      <w:sz w:val="24"/>
      <w:szCs w:val="24"/>
    </w:rPr>
  </w:style>
  <w:style w:type="character" w:customStyle="1" w:styleId="5Char">
    <w:name w:val="标题 5 Char"/>
    <w:basedOn w:val="a0"/>
    <w:link w:val="5"/>
    <w:uiPriority w:val="9"/>
    <w:semiHidden/>
    <w:locked/>
    <w:rPr>
      <w:b/>
      <w:bCs/>
      <w:kern w:val="2"/>
      <w:sz w:val="24"/>
      <w:szCs w:val="24"/>
    </w:rPr>
  </w:style>
  <w:style w:type="character" w:customStyle="1" w:styleId="6Char">
    <w:name w:val="标题 6 Char"/>
    <w:basedOn w:val="a0"/>
    <w:link w:val="6"/>
    <w:uiPriority w:val="9"/>
    <w:semiHidden/>
    <w:locked/>
    <w:rPr>
      <w:rFonts w:asciiTheme="majorHAnsi" w:eastAsiaTheme="majorEastAsia" w:hAnsiTheme="majorHAnsi" w:cstheme="majorBidi" w:hint="default"/>
      <w:b/>
      <w:bCs/>
      <w:kern w:val="2"/>
      <w:sz w:val="24"/>
      <w:szCs w:val="24"/>
    </w:rPr>
  </w:style>
  <w:style w:type="paragraph" w:styleId="a5">
    <w:name w:val="Normal (Web)"/>
    <w:basedOn w:val="a"/>
    <w:pPr>
      <w:widowControl/>
      <w:spacing w:before="100" w:beforeAutospacing="1" w:after="100" w:afterAutospacing="1"/>
      <w:jc w:val="left"/>
    </w:pPr>
    <w:rPr>
      <w:kern w:val="0"/>
      <w:sz w:val="24"/>
    </w:rPr>
  </w:style>
  <w:style w:type="paragraph" w:styleId="10">
    <w:name w:val="toc 1"/>
    <w:basedOn w:val="a"/>
    <w:next w:val="a"/>
    <w:autoRedefine/>
    <w:uiPriority w:val="39"/>
    <w:semiHidden/>
    <w:unhideWhenUsed/>
    <w:pPr>
      <w:tabs>
        <w:tab w:val="right" w:leader="dot" w:pos="8835"/>
      </w:tabs>
    </w:pPr>
    <w:rPr>
      <w:noProof/>
    </w:rPr>
  </w:style>
  <w:style w:type="paragraph" w:styleId="20">
    <w:name w:val="toc 2"/>
    <w:basedOn w:val="a"/>
    <w:next w:val="a"/>
    <w:autoRedefine/>
    <w:uiPriority w:val="39"/>
    <w:semiHidden/>
    <w:unhideWhenUsed/>
    <w:pPr>
      <w:ind w:leftChars="200" w:left="420"/>
    </w:pPr>
  </w:style>
  <w:style w:type="paragraph" w:styleId="30">
    <w:name w:val="toc 3"/>
    <w:basedOn w:val="a"/>
    <w:next w:val="a"/>
    <w:autoRedefine/>
    <w:uiPriority w:val="39"/>
    <w:semiHidden/>
    <w:unhideWhenUsed/>
  </w:style>
  <w:style w:type="paragraph" w:styleId="a6">
    <w:name w:val="footnote text"/>
    <w:basedOn w:val="a"/>
    <w:link w:val="Char1"/>
    <w:pPr>
      <w:snapToGrid w:val="0"/>
      <w:jc w:val="left"/>
    </w:pPr>
    <w:rPr>
      <w:sz w:val="18"/>
      <w:szCs w:val="18"/>
    </w:rPr>
  </w:style>
  <w:style w:type="character" w:customStyle="1" w:styleId="Char">
    <w:name w:val="脚注文本 Char"/>
    <w:basedOn w:val="a0"/>
    <w:link w:val="a6"/>
    <w:locked/>
    <w:rPr>
      <w:kern w:val="2"/>
      <w:sz w:val="18"/>
      <w:szCs w:val="18"/>
    </w:rPr>
  </w:style>
  <w:style w:type="paragraph" w:styleId="a7">
    <w:name w:val="header"/>
    <w:basedOn w:val="a"/>
    <w:link w:val="Char1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locked/>
    <w:rPr>
      <w:kern w:val="2"/>
      <w:sz w:val="18"/>
      <w:szCs w:val="18"/>
    </w:rPr>
  </w:style>
  <w:style w:type="paragraph" w:styleId="a8">
    <w:name w:val="footer"/>
    <w:basedOn w:val="a"/>
    <w:link w:val="Char11"/>
    <w:uiPriority w:val="99"/>
    <w:pPr>
      <w:tabs>
        <w:tab w:val="center" w:pos="4153"/>
        <w:tab w:val="right" w:pos="8306"/>
      </w:tabs>
      <w:snapToGrid w:val="0"/>
      <w:jc w:val="left"/>
    </w:pPr>
    <w:rPr>
      <w:sz w:val="18"/>
      <w:szCs w:val="18"/>
    </w:rPr>
  </w:style>
  <w:style w:type="character" w:customStyle="1" w:styleId="Char2">
    <w:name w:val="页脚 Char"/>
    <w:basedOn w:val="a0"/>
    <w:link w:val="a8"/>
    <w:uiPriority w:val="99"/>
    <w:locked/>
    <w:rPr>
      <w:kern w:val="2"/>
      <w:sz w:val="18"/>
      <w:szCs w:val="18"/>
    </w:rPr>
  </w:style>
  <w:style w:type="paragraph" w:styleId="a9">
    <w:name w:val="Title"/>
    <w:basedOn w:val="1"/>
    <w:next w:val="2"/>
    <w:link w:val="Char12"/>
    <w:uiPriority w:val="10"/>
    <w:qFormat/>
    <w:pPr>
      <w:keepNext w:val="0"/>
      <w:keepLines w:val="0"/>
      <w:spacing w:before="240" w:after="60" w:line="240" w:lineRule="auto"/>
      <w:jc w:val="center"/>
    </w:pPr>
    <w:rPr>
      <w:rFonts w:ascii="Cambria" w:hAnsi="Cambria"/>
      <w:kern w:val="0"/>
      <w:sz w:val="32"/>
      <w:szCs w:val="32"/>
    </w:rPr>
  </w:style>
  <w:style w:type="character" w:customStyle="1" w:styleId="Char3">
    <w:name w:val="标题 Char"/>
    <w:basedOn w:val="a0"/>
    <w:link w:val="a9"/>
    <w:uiPriority w:val="10"/>
    <w:locked/>
    <w:rPr>
      <w:rFonts w:asciiTheme="majorHAnsi" w:hAnsiTheme="majorHAnsi" w:cstheme="majorBidi" w:hint="default"/>
      <w:b/>
      <w:bCs/>
      <w:kern w:val="2"/>
      <w:sz w:val="32"/>
      <w:szCs w:val="32"/>
    </w:rPr>
  </w:style>
  <w:style w:type="paragraph" w:styleId="aa">
    <w:name w:val="Subtitle"/>
    <w:basedOn w:val="2"/>
    <w:next w:val="3"/>
    <w:link w:val="Char13"/>
    <w:qFormat/>
    <w:pPr>
      <w:spacing w:before="240" w:after="60" w:line="312" w:lineRule="auto"/>
      <w:jc w:val="left"/>
    </w:pPr>
    <w:rPr>
      <w:bCs w:val="0"/>
      <w:kern w:val="24"/>
      <w:sz w:val="24"/>
    </w:rPr>
  </w:style>
  <w:style w:type="character" w:customStyle="1" w:styleId="Char4">
    <w:name w:val="副标题 Char"/>
    <w:basedOn w:val="a0"/>
    <w:link w:val="aa"/>
    <w:locked/>
    <w:rPr>
      <w:rFonts w:asciiTheme="majorHAnsi" w:hAnsiTheme="majorHAnsi" w:cstheme="majorBidi" w:hint="default"/>
      <w:b/>
      <w:bCs/>
      <w:kern w:val="24"/>
      <w:sz w:val="32"/>
      <w:szCs w:val="32"/>
    </w:rPr>
  </w:style>
  <w:style w:type="paragraph" w:styleId="ab">
    <w:name w:val="Date"/>
    <w:basedOn w:val="a"/>
    <w:next w:val="a"/>
    <w:link w:val="Char14"/>
    <w:rPr>
      <w:sz w:val="32"/>
      <w:lang/>
    </w:rPr>
  </w:style>
  <w:style w:type="character" w:customStyle="1" w:styleId="Char5">
    <w:name w:val="日期 Char"/>
    <w:basedOn w:val="a0"/>
    <w:link w:val="ab"/>
    <w:locked/>
    <w:rPr>
      <w:kern w:val="2"/>
      <w:sz w:val="21"/>
    </w:rPr>
  </w:style>
  <w:style w:type="paragraph" w:styleId="ac">
    <w:name w:val="Document Map"/>
    <w:basedOn w:val="a"/>
    <w:link w:val="Char15"/>
    <w:pPr>
      <w:shd w:val="clear" w:color="auto" w:fill="000080"/>
    </w:pPr>
  </w:style>
  <w:style w:type="character" w:customStyle="1" w:styleId="Char6">
    <w:name w:val="文档结构图 Char"/>
    <w:basedOn w:val="a0"/>
    <w:link w:val="ac"/>
    <w:locked/>
    <w:rPr>
      <w:rFonts w:ascii="宋体" w:eastAsia="宋体" w:hAnsi="宋体" w:hint="eastAsia"/>
      <w:kern w:val="2"/>
      <w:sz w:val="18"/>
      <w:szCs w:val="18"/>
    </w:rPr>
  </w:style>
  <w:style w:type="paragraph" w:styleId="ad">
    <w:name w:val="Balloon Text"/>
    <w:basedOn w:val="a"/>
    <w:link w:val="Char16"/>
    <w:uiPriority w:val="99"/>
    <w:semiHidden/>
    <w:unhideWhenUsed/>
    <w:rPr>
      <w:sz w:val="18"/>
      <w:szCs w:val="18"/>
    </w:rPr>
  </w:style>
  <w:style w:type="character" w:customStyle="1" w:styleId="Char7">
    <w:name w:val="批注框文本 Char"/>
    <w:basedOn w:val="a0"/>
    <w:link w:val="ad"/>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msonormal0">
    <w:name w:val="msonormal"/>
    <w:basedOn w:val="a"/>
    <w:pPr>
      <w:widowControl/>
      <w:spacing w:before="100" w:beforeAutospacing="1" w:after="100" w:afterAutospacing="1"/>
      <w:jc w:val="left"/>
    </w:pPr>
    <w:rPr>
      <w:kern w:val="0"/>
      <w:sz w:val="24"/>
    </w:rPr>
  </w:style>
  <w:style w:type="paragraph" w:customStyle="1" w:styleId="XBRLTitle6">
    <w:name w:val="XBRLTitle6"/>
    <w:basedOn w:val="aa"/>
    <w:next w:val="4"/>
    <w:qFormat/>
    <w:pPr>
      <w:numPr>
        <w:ilvl w:val="5"/>
        <w:numId w:val="2"/>
      </w:numPr>
      <w:spacing w:beforeLines="50" w:after="0" w:line="240" w:lineRule="auto"/>
      <w:outlineLvl w:val="9"/>
    </w:pPr>
    <w:rPr>
      <w:bCs/>
    </w:rPr>
  </w:style>
  <w:style w:type="paragraph" w:customStyle="1" w:styleId="ae">
    <w:name w:val="次标题"/>
    <w:basedOn w:val="3"/>
    <w:next w:val="a"/>
    <w:pPr>
      <w:spacing w:before="120" w:after="120"/>
      <w:jc w:val="left"/>
    </w:pPr>
    <w:rPr>
      <w:sz w:val="21"/>
    </w:rPr>
  </w:style>
  <w:style w:type="paragraph" w:customStyle="1" w:styleId="XBRL6">
    <w:name w:val="XBRL标题6"/>
    <w:basedOn w:val="aa"/>
    <w:next w:val="4"/>
    <w:qFormat/>
    <w:pPr>
      <w:spacing w:beforeLines="50" w:after="0" w:line="240" w:lineRule="auto"/>
      <w:outlineLvl w:val="9"/>
    </w:pPr>
    <w:rPr>
      <w:bCs/>
    </w:rPr>
  </w:style>
  <w:style w:type="paragraph" w:customStyle="1" w:styleId="XBRL2">
    <w:name w:val="XBRL标题2"/>
    <w:basedOn w:val="aa"/>
    <w:next w:val="4"/>
    <w:qFormat/>
    <w:pPr>
      <w:spacing w:beforeLines="50" w:after="0" w:line="240" w:lineRule="auto"/>
    </w:pPr>
    <w:rPr>
      <w:bCs/>
    </w:rPr>
  </w:style>
  <w:style w:type="paragraph" w:customStyle="1" w:styleId="XBRL3">
    <w:name w:val="XBRL标题3"/>
    <w:basedOn w:val="aa"/>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jc w:val="center"/>
    </w:pPr>
    <w:rPr>
      <w:rFonts w:hAnsi="Cambria"/>
      <w:sz w:val="24"/>
    </w:rPr>
  </w:style>
  <w:style w:type="paragraph" w:customStyle="1" w:styleId="XBRLTitle2">
    <w:name w:val="XBRLTitle2"/>
    <w:basedOn w:val="aa"/>
    <w:next w:val="4"/>
    <w:qFormat/>
    <w:pPr>
      <w:keepNext w:val="0"/>
      <w:keepLines w:val="0"/>
      <w:numPr>
        <w:ilvl w:val="1"/>
        <w:numId w:val="2"/>
      </w:numPr>
      <w:spacing w:beforeLines="50" w:after="0" w:line="240" w:lineRule="auto"/>
      <w:ind w:left="454"/>
    </w:pPr>
    <w:rPr>
      <w:rFonts w:ascii="宋体"/>
      <w:bCs/>
    </w:rPr>
  </w:style>
  <w:style w:type="paragraph" w:customStyle="1" w:styleId="XBRLTitle5">
    <w:name w:val="XBRLTitle5"/>
    <w:basedOn w:val="aa"/>
    <w:next w:val="4"/>
    <w:qFormat/>
    <w:pPr>
      <w:numPr>
        <w:ilvl w:val="4"/>
        <w:numId w:val="2"/>
      </w:numPr>
      <w:spacing w:beforeLines="50" w:after="0" w:line="240" w:lineRule="auto"/>
      <w:outlineLvl w:val="9"/>
    </w:pPr>
    <w:rPr>
      <w:bCs/>
    </w:rPr>
  </w:style>
  <w:style w:type="paragraph" w:customStyle="1" w:styleId="Char8">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a"/>
    <w:next w:val="4"/>
    <w:qFormat/>
    <w:pPr>
      <w:spacing w:beforeLines="50" w:after="0" w:line="240" w:lineRule="auto"/>
      <w:outlineLvl w:val="9"/>
    </w:pPr>
    <w:rPr>
      <w:bCs/>
    </w:rPr>
  </w:style>
  <w:style w:type="paragraph" w:customStyle="1" w:styleId="XBRL4">
    <w:name w:val="XBRL标题4"/>
    <w:basedOn w:val="aa"/>
    <w:next w:val="4"/>
    <w:qFormat/>
    <w:pPr>
      <w:spacing w:beforeLines="50" w:after="0" w:line="240" w:lineRule="auto"/>
      <w:outlineLvl w:val="9"/>
    </w:pPr>
    <w:rPr>
      <w:bCs/>
    </w:rPr>
  </w:style>
  <w:style w:type="paragraph" w:customStyle="1" w:styleId="XBRLTitle4">
    <w:name w:val="XBRLTitle4"/>
    <w:basedOn w:val="aa"/>
    <w:next w:val="4"/>
    <w:qFormat/>
    <w:pPr>
      <w:numPr>
        <w:ilvl w:val="3"/>
        <w:numId w:val="2"/>
      </w:numPr>
      <w:spacing w:beforeLines="50" w:after="0" w:line="240" w:lineRule="auto"/>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a"/>
    <w:next w:val="4"/>
    <w:autoRedefine/>
    <w:qFormat/>
    <w:pPr>
      <w:keepNext w:val="0"/>
      <w:keepLines w:val="0"/>
      <w:numPr>
        <w:ilvl w:val="2"/>
        <w:numId w:val="2"/>
      </w:numPr>
      <w:spacing w:beforeLines="50" w:after="0" w:line="360" w:lineRule="auto"/>
      <w:ind w:left="0"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paragraph" w:customStyle="1" w:styleId="removednode">
    <w:name w:val="removednode"/>
    <w:basedOn w:val="a"/>
    <w:pPr>
      <w:widowControl/>
      <w:spacing w:before="100" w:beforeAutospacing="1" w:after="100" w:afterAutospacing="1"/>
      <w:jc w:val="left"/>
    </w:pPr>
    <w:rPr>
      <w:kern w:val="0"/>
      <w:sz w:val="24"/>
    </w:rPr>
  </w:style>
  <w:style w:type="character" w:styleId="af">
    <w:name w:val="footnote reference"/>
    <w:rPr>
      <w:vertAlign w:val="superscript"/>
    </w:rPr>
  </w:style>
  <w:style w:type="character" w:customStyle="1" w:styleId="11">
    <w:name w:val="标题 1 字符"/>
    <w:basedOn w:val="a0"/>
    <w:link w:val="1"/>
    <w:uiPriority w:val="9"/>
    <w:locked/>
    <w:rPr>
      <w:b/>
      <w:bCs/>
      <w:kern w:val="44"/>
      <w:sz w:val="44"/>
      <w:szCs w:val="44"/>
    </w:rPr>
  </w:style>
  <w:style w:type="character" w:customStyle="1" w:styleId="21">
    <w:name w:val="标题 2 字符"/>
    <w:basedOn w:val="a0"/>
    <w:link w:val="2"/>
    <w:uiPriority w:val="9"/>
    <w:locked/>
    <w:rPr>
      <w:rFonts w:asciiTheme="majorHAnsi" w:eastAsiaTheme="majorEastAsia" w:hAnsiTheme="majorHAnsi" w:cstheme="majorBidi" w:hint="default"/>
      <w:b/>
      <w:bCs/>
      <w:kern w:val="2"/>
      <w:sz w:val="32"/>
      <w:szCs w:val="32"/>
    </w:rPr>
  </w:style>
  <w:style w:type="character" w:customStyle="1" w:styleId="31">
    <w:name w:val="标题 3 字符"/>
    <w:basedOn w:val="a0"/>
    <w:link w:val="3"/>
    <w:uiPriority w:val="9"/>
    <w:locked/>
    <w:rPr>
      <w:b/>
      <w:bCs/>
      <w:kern w:val="2"/>
      <w:sz w:val="32"/>
      <w:szCs w:val="32"/>
    </w:rPr>
  </w:style>
  <w:style w:type="character" w:customStyle="1" w:styleId="40">
    <w:name w:val="标题 4 字符"/>
    <w:basedOn w:val="a0"/>
    <w:link w:val="4"/>
    <w:locked/>
    <w:rPr>
      <w:rFonts w:asciiTheme="majorHAnsi" w:eastAsiaTheme="majorEastAsia" w:hAnsiTheme="majorHAnsi" w:cstheme="majorBidi" w:hint="default"/>
      <w:b/>
      <w:bCs/>
      <w:kern w:val="2"/>
      <w:sz w:val="24"/>
      <w:szCs w:val="24"/>
    </w:rPr>
  </w:style>
  <w:style w:type="character" w:customStyle="1" w:styleId="af0">
    <w:name w:val="脚注文本 字符"/>
    <w:basedOn w:val="a0"/>
    <w:link w:val="a6"/>
    <w:locked/>
    <w:rPr>
      <w:kern w:val="2"/>
      <w:sz w:val="18"/>
      <w:szCs w:val="18"/>
    </w:rPr>
  </w:style>
  <w:style w:type="character" w:customStyle="1" w:styleId="af1">
    <w:name w:val="页眉 字符"/>
    <w:basedOn w:val="a0"/>
    <w:link w:val="a7"/>
    <w:locked/>
    <w:rPr>
      <w:kern w:val="2"/>
      <w:sz w:val="18"/>
      <w:szCs w:val="18"/>
    </w:rPr>
  </w:style>
  <w:style w:type="character" w:customStyle="1" w:styleId="af2">
    <w:name w:val="页脚 字符"/>
    <w:basedOn w:val="a0"/>
    <w:link w:val="a8"/>
    <w:uiPriority w:val="99"/>
    <w:locked/>
    <w:rPr>
      <w:kern w:val="2"/>
      <w:sz w:val="18"/>
      <w:szCs w:val="18"/>
    </w:rPr>
  </w:style>
  <w:style w:type="character" w:customStyle="1" w:styleId="af3">
    <w:name w:val="标题 字符"/>
    <w:basedOn w:val="a0"/>
    <w:link w:val="a9"/>
    <w:uiPriority w:val="10"/>
    <w:locked/>
    <w:rPr>
      <w:rFonts w:asciiTheme="majorHAnsi" w:eastAsiaTheme="majorEastAsia" w:hAnsiTheme="majorHAnsi" w:cstheme="majorBidi" w:hint="default"/>
      <w:b/>
      <w:bCs/>
      <w:kern w:val="2"/>
      <w:sz w:val="32"/>
      <w:szCs w:val="32"/>
    </w:rPr>
  </w:style>
  <w:style w:type="character" w:customStyle="1" w:styleId="af4">
    <w:name w:val="副标题 字符"/>
    <w:basedOn w:val="a0"/>
    <w:link w:val="aa"/>
    <w:locked/>
    <w:rPr>
      <w:rFonts w:asciiTheme="minorHAnsi" w:eastAsiaTheme="minorEastAsia" w:hAnsiTheme="minorHAnsi" w:cstheme="minorBidi" w:hint="default"/>
      <w:b/>
      <w:bCs/>
      <w:kern w:val="24"/>
      <w:sz w:val="32"/>
      <w:szCs w:val="32"/>
    </w:rPr>
  </w:style>
  <w:style w:type="character" w:customStyle="1" w:styleId="af5">
    <w:name w:val="日期 字符"/>
    <w:basedOn w:val="a0"/>
    <w:link w:val="ab"/>
    <w:locked/>
    <w:rPr>
      <w:kern w:val="2"/>
      <w:sz w:val="21"/>
    </w:rPr>
  </w:style>
  <w:style w:type="character" w:customStyle="1" w:styleId="af6">
    <w:name w:val="文档结构图 字符"/>
    <w:basedOn w:val="a0"/>
    <w:link w:val="ac"/>
    <w:locked/>
    <w:rPr>
      <w:rFonts w:ascii="Microsoft YaHei UI" w:eastAsia="Microsoft YaHei UI" w:hAnsi="Microsoft YaHei UI" w:hint="eastAsia"/>
      <w:kern w:val="2"/>
      <w:sz w:val="18"/>
      <w:szCs w:val="18"/>
    </w:rPr>
  </w:style>
  <w:style w:type="character" w:customStyle="1" w:styleId="af7">
    <w:name w:val="批注框文本 字符"/>
    <w:basedOn w:val="a0"/>
    <w:link w:val="ad"/>
    <w:uiPriority w:val="99"/>
    <w:semiHidden/>
    <w:locked/>
    <w:rPr>
      <w:kern w:val="2"/>
      <w:sz w:val="18"/>
      <w:szCs w:val="18"/>
    </w:rPr>
  </w:style>
  <w:style w:type="character" w:customStyle="1" w:styleId="1Char1">
    <w:name w:val="标题 1 Char1"/>
    <w:link w:val="1"/>
    <w:uiPriority w:val="9"/>
    <w:locked/>
    <w:rPr>
      <w:b/>
      <w:bCs/>
      <w:kern w:val="44"/>
      <w:sz w:val="44"/>
      <w:szCs w:val="44"/>
    </w:rPr>
  </w:style>
  <w:style w:type="character" w:customStyle="1" w:styleId="2Char1">
    <w:name w:val="标题 2 Char1"/>
    <w:link w:val="2"/>
    <w:uiPriority w:val="9"/>
    <w:locked/>
    <w:rPr>
      <w:rFonts w:ascii="Cambria" w:eastAsia="宋体" w:hAnsi="Cambria" w:cs="宋体" w:hint="default"/>
      <w:b/>
      <w:bCs/>
      <w:sz w:val="32"/>
      <w:szCs w:val="32"/>
    </w:rPr>
  </w:style>
  <w:style w:type="character" w:customStyle="1" w:styleId="3Char1">
    <w:name w:val="标题 3 Char1"/>
    <w:link w:val="3"/>
    <w:uiPriority w:val="9"/>
    <w:locked/>
    <w:rPr>
      <w:b/>
      <w:bCs/>
      <w:sz w:val="32"/>
      <w:szCs w:val="32"/>
    </w:rPr>
  </w:style>
  <w:style w:type="character" w:customStyle="1" w:styleId="4Char1">
    <w:name w:val="标题 4 Char1"/>
    <w:link w:val="4"/>
    <w:semiHidden/>
    <w:locked/>
    <w:rPr>
      <w:rFonts w:ascii="Cambria" w:eastAsia="宋体" w:hAnsi="Cambria" w:cs="宋体" w:hint="default"/>
      <w:b/>
      <w:bCs/>
      <w:sz w:val="24"/>
      <w:szCs w:val="24"/>
    </w:rPr>
  </w:style>
  <w:style w:type="character" w:customStyle="1" w:styleId="Char1">
    <w:name w:val="脚注文本 Char1"/>
    <w:basedOn w:val="a0"/>
    <w:link w:val="a6"/>
    <w:locked/>
    <w:rPr>
      <w:kern w:val="2"/>
      <w:sz w:val="18"/>
      <w:szCs w:val="18"/>
    </w:rPr>
  </w:style>
  <w:style w:type="character" w:customStyle="1" w:styleId="Char10">
    <w:name w:val="页眉 Char1"/>
    <w:basedOn w:val="a0"/>
    <w:link w:val="a7"/>
    <w:locked/>
    <w:rPr>
      <w:kern w:val="2"/>
      <w:sz w:val="18"/>
      <w:szCs w:val="18"/>
    </w:rPr>
  </w:style>
  <w:style w:type="character" w:customStyle="1" w:styleId="Char11">
    <w:name w:val="页脚 Char1"/>
    <w:basedOn w:val="a0"/>
    <w:link w:val="a8"/>
    <w:uiPriority w:val="99"/>
    <w:locked/>
    <w:rPr>
      <w:kern w:val="2"/>
      <w:sz w:val="18"/>
      <w:szCs w:val="18"/>
    </w:rPr>
  </w:style>
  <w:style w:type="character" w:customStyle="1" w:styleId="Char12">
    <w:name w:val="标题 Char1"/>
    <w:link w:val="a9"/>
    <w:uiPriority w:val="10"/>
    <w:locked/>
    <w:rPr>
      <w:rFonts w:ascii="Cambria" w:hAnsi="Cambria" w:cs="宋体" w:hint="default"/>
      <w:b/>
      <w:bCs/>
      <w:sz w:val="32"/>
      <w:szCs w:val="32"/>
    </w:rPr>
  </w:style>
  <w:style w:type="character" w:customStyle="1" w:styleId="Char13">
    <w:name w:val="副标题 Char1"/>
    <w:link w:val="aa"/>
    <w:locked/>
    <w:rPr>
      <w:rFonts w:ascii="Cambria" w:eastAsia="宋体" w:hAnsi="Cambria" w:cs="宋体" w:hint="default"/>
      <w:b/>
      <w:bCs w:val="0"/>
      <w:kern w:val="24"/>
      <w:sz w:val="24"/>
      <w:szCs w:val="32"/>
    </w:rPr>
  </w:style>
  <w:style w:type="character" w:customStyle="1" w:styleId="Char14">
    <w:name w:val="日期 Char1"/>
    <w:link w:val="ab"/>
    <w:locked/>
    <w:rPr>
      <w:rFonts w:ascii="宋体" w:eastAsia="宋体" w:hAnsi="宋体" w:hint="eastAsia"/>
      <w:kern w:val="2"/>
      <w:sz w:val="32"/>
    </w:rPr>
  </w:style>
  <w:style w:type="character" w:customStyle="1" w:styleId="Char15">
    <w:name w:val="文档结构图 Char1"/>
    <w:basedOn w:val="a0"/>
    <w:link w:val="ac"/>
    <w:locked/>
    <w:rPr>
      <w:rFonts w:ascii="宋体" w:eastAsia="宋体" w:hAnsi="宋体" w:hint="eastAsia"/>
      <w:kern w:val="2"/>
      <w:sz w:val="18"/>
      <w:szCs w:val="18"/>
    </w:rPr>
  </w:style>
  <w:style w:type="character" w:customStyle="1" w:styleId="Char16">
    <w:name w:val="批注框文本 Char1"/>
    <w:basedOn w:val="a0"/>
    <w:link w:val="ad"/>
    <w:uiPriority w:val="99"/>
    <w:semiHidden/>
    <w:locked/>
    <w:rPr>
      <w:kern w:val="2"/>
      <w:sz w:val="18"/>
      <w:szCs w:val="18"/>
    </w:rPr>
  </w:style>
  <w:style w:type="character" w:customStyle="1" w:styleId="5Char1">
    <w:name w:val="标题 5 Char1"/>
    <w:basedOn w:val="a0"/>
    <w:link w:val="5"/>
    <w:uiPriority w:val="9"/>
    <w:semiHidden/>
    <w:locked/>
    <w:rPr>
      <w:b/>
      <w:bCs/>
      <w:kern w:val="2"/>
      <w:sz w:val="24"/>
      <w:szCs w:val="24"/>
    </w:rPr>
  </w:style>
  <w:style w:type="character" w:customStyle="1" w:styleId="6Char1">
    <w:name w:val="标题 6 Char1"/>
    <w:basedOn w:val="a0"/>
    <w:link w:val="6"/>
    <w:uiPriority w:val="9"/>
    <w:semiHidden/>
    <w:locked/>
    <w:rPr>
      <w:rFonts w:asciiTheme="majorHAnsi" w:eastAsiaTheme="majorEastAsia" w:hAnsiTheme="majorHAnsi" w:cstheme="majorBidi" w:hint="default"/>
      <w:b/>
      <w:bCs/>
      <w:kern w:val="2"/>
      <w:sz w:val="24"/>
      <w:szCs w:val="24"/>
    </w:rPr>
  </w:style>
  <w:style w:type="character" w:customStyle="1" w:styleId="12">
    <w:name w:val="页眉 字符1"/>
    <w:basedOn w:val="a0"/>
    <w:locked/>
    <w:rPr>
      <w:kern w:val="2"/>
      <w:sz w:val="18"/>
      <w:szCs w:val="18"/>
    </w:rPr>
  </w:style>
  <w:style w:type="table" w:styleId="af8">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814182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9E876-2BA8-4151-9DFF-7A928BB64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257</Words>
  <Characters>1469</Characters>
  <Application>Microsoft Office Word</Application>
  <DocSecurity>4</DocSecurity>
  <Lines>12</Lines>
  <Paragraphs>3</Paragraphs>
  <ScaleCrop>false</ScaleCrop>
  <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dcterms:created xsi:type="dcterms:W3CDTF">2024-04-10T16:02:00Z</dcterms:created>
  <dcterms:modified xsi:type="dcterms:W3CDTF">2024-04-10T16:02:00Z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