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3C" w:rsidRDefault="007A4D3C"/>
    <w:p w:rsidR="00F8510B" w:rsidRDefault="00F8510B" w:rsidP="00F8510B">
      <w:pPr>
        <w:jc w:val="center"/>
        <w:rPr>
          <w:rFonts w:ascii="宋体" w:eastAsia="宋体" w:hAnsi="宋体"/>
          <w:b/>
          <w:sz w:val="28"/>
        </w:rPr>
      </w:pPr>
      <w:r w:rsidRPr="00F8510B">
        <w:rPr>
          <w:rFonts w:ascii="宋体" w:eastAsia="宋体" w:hAnsi="宋体" w:hint="eastAsia"/>
          <w:b/>
          <w:sz w:val="28"/>
        </w:rPr>
        <w:t>博时裕利纯债债券型证券投资基金分红公告</w:t>
      </w:r>
    </w:p>
    <w:p w:rsidR="00F8510B" w:rsidRDefault="00F8510B" w:rsidP="00F8510B">
      <w:pPr>
        <w:jc w:val="center"/>
        <w:rPr>
          <w:rFonts w:ascii="宋体" w:eastAsia="宋体" w:hAnsi="宋体"/>
          <w:b/>
          <w:sz w:val="24"/>
        </w:rPr>
      </w:pPr>
      <w:r w:rsidRPr="00F8510B">
        <w:rPr>
          <w:rFonts w:ascii="宋体" w:eastAsia="宋体" w:hAnsi="宋体" w:hint="eastAsia"/>
          <w:b/>
          <w:sz w:val="24"/>
        </w:rPr>
        <w:t>公告送出日期：</w:t>
      </w:r>
      <w:r w:rsidRPr="00F8510B">
        <w:rPr>
          <w:rFonts w:ascii="宋体" w:eastAsia="宋体" w:hAnsi="宋体"/>
          <w:b/>
          <w:sz w:val="24"/>
        </w:rPr>
        <w:t>2024年4月11日</w:t>
      </w:r>
    </w:p>
    <w:p w:rsidR="00F8510B" w:rsidRDefault="00F8510B" w:rsidP="00F8510B">
      <w:pPr>
        <w:jc w:val="center"/>
        <w:rPr>
          <w:rFonts w:ascii="宋体" w:eastAsia="宋体" w:hAnsi="宋体"/>
          <w:b/>
          <w:sz w:val="24"/>
        </w:rPr>
      </w:pPr>
    </w:p>
    <w:p w:rsidR="00F8510B" w:rsidRDefault="00F8510B" w:rsidP="00F8510B">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基金名称</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博时裕利纯债债券型证券投资基金</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基金简称</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博时裕利纯债债券</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基金主代码</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rPr>
              <w:t>002698</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基金合同生效日</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rPr>
              <w:t>2016年5月9日</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基金管理人名称</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博时基金管理有限公司</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基金托管人名称</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杭州银行股份有限公司</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公告依据</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《中华人民共和国证券投资基金法》、《公开募集证券投资基金运作管理办法》、《博时裕利纯债债券型证券投资基金基金合同》、《博时裕利纯债债券型证券投资基金招募说明书》等</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收益分配基准日</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rPr>
              <w:t>2024年4月3日</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下属基金份额的基金简称</w:t>
            </w:r>
          </w:p>
        </w:tc>
        <w:tc>
          <w:tcPr>
            <w:tcW w:w="2841" w:type="dxa"/>
            <w:vAlign w:val="center"/>
          </w:tcPr>
          <w:p w:rsidR="00F8510B" w:rsidRPr="00F8510B" w:rsidRDefault="00F8510B" w:rsidP="00F8510B">
            <w:pPr>
              <w:rPr>
                <w:rFonts w:ascii="宋体" w:eastAsia="宋体" w:hAnsi="宋体"/>
              </w:rPr>
            </w:pPr>
            <w:r>
              <w:rPr>
                <w:rFonts w:ascii="宋体" w:eastAsia="宋体" w:hAnsi="宋体" w:hint="eastAsia"/>
              </w:rPr>
              <w:t>博时裕利纯债债券</w:t>
            </w:r>
            <w:r>
              <w:rPr>
                <w:rFonts w:ascii="宋体" w:eastAsia="宋体" w:hAnsi="宋体"/>
              </w:rPr>
              <w:t>A</w:t>
            </w:r>
          </w:p>
        </w:tc>
        <w:tc>
          <w:tcPr>
            <w:tcW w:w="2841" w:type="dxa"/>
            <w:vAlign w:val="center"/>
          </w:tcPr>
          <w:p w:rsidR="00F8510B" w:rsidRPr="00F8510B" w:rsidRDefault="00F8510B" w:rsidP="00F8510B">
            <w:pPr>
              <w:rPr>
                <w:rFonts w:ascii="宋体" w:eastAsia="宋体" w:hAnsi="宋体"/>
              </w:rPr>
            </w:pPr>
            <w:r>
              <w:rPr>
                <w:rFonts w:ascii="宋体" w:eastAsia="宋体" w:hAnsi="宋体" w:hint="eastAsia"/>
              </w:rPr>
              <w:t>博时裕利纯债债券</w:t>
            </w:r>
            <w:r>
              <w:rPr>
                <w:rFonts w:ascii="宋体" w:eastAsia="宋体" w:hAnsi="宋体"/>
              </w:rPr>
              <w:t>C</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下属基金份额的交易代码</w:t>
            </w:r>
          </w:p>
        </w:tc>
        <w:tc>
          <w:tcPr>
            <w:tcW w:w="2841" w:type="dxa"/>
            <w:vAlign w:val="center"/>
          </w:tcPr>
          <w:p w:rsidR="00F8510B" w:rsidRPr="00F8510B" w:rsidRDefault="00F8510B" w:rsidP="00F8510B">
            <w:pPr>
              <w:rPr>
                <w:rFonts w:ascii="宋体" w:eastAsia="宋体" w:hAnsi="宋体"/>
              </w:rPr>
            </w:pPr>
            <w:r>
              <w:rPr>
                <w:rFonts w:ascii="宋体" w:eastAsia="宋体" w:hAnsi="宋体"/>
              </w:rPr>
              <w:t>002698</w:t>
            </w:r>
          </w:p>
        </w:tc>
        <w:tc>
          <w:tcPr>
            <w:tcW w:w="2841" w:type="dxa"/>
            <w:vAlign w:val="center"/>
          </w:tcPr>
          <w:p w:rsidR="00F8510B" w:rsidRPr="00F8510B" w:rsidRDefault="00F8510B" w:rsidP="00F8510B">
            <w:pPr>
              <w:rPr>
                <w:rFonts w:ascii="宋体" w:eastAsia="宋体" w:hAnsi="宋体"/>
              </w:rPr>
            </w:pPr>
            <w:r>
              <w:rPr>
                <w:rFonts w:ascii="宋体" w:eastAsia="宋体" w:hAnsi="宋体"/>
              </w:rPr>
              <w:t>021041</w:t>
            </w:r>
          </w:p>
        </w:tc>
      </w:tr>
      <w:tr w:rsidR="00F8510B" w:rsidTr="00F8510B">
        <w:tc>
          <w:tcPr>
            <w:tcW w:w="1420" w:type="dxa"/>
            <w:vMerge w:val="restart"/>
            <w:vAlign w:val="center"/>
          </w:tcPr>
          <w:p w:rsidR="00F8510B" w:rsidRPr="00F8510B" w:rsidRDefault="00F8510B" w:rsidP="00F8510B">
            <w:pPr>
              <w:rPr>
                <w:rFonts w:ascii="宋体" w:eastAsia="宋体" w:hAnsi="宋体"/>
              </w:rPr>
            </w:pPr>
            <w:r>
              <w:rPr>
                <w:rFonts w:ascii="宋体" w:eastAsia="宋体" w:hAnsi="宋体" w:hint="eastAsia"/>
              </w:rPr>
              <w:t>截止基准日下属基金份额的相关指标</w:t>
            </w:r>
          </w:p>
        </w:tc>
        <w:tc>
          <w:tcPr>
            <w:tcW w:w="1420" w:type="dxa"/>
            <w:vAlign w:val="center"/>
          </w:tcPr>
          <w:p w:rsidR="00F8510B" w:rsidRPr="00F8510B" w:rsidRDefault="00F8510B" w:rsidP="00F8510B">
            <w:pPr>
              <w:rPr>
                <w:rFonts w:ascii="宋体" w:eastAsia="宋体" w:hAnsi="宋体"/>
              </w:rPr>
            </w:pPr>
            <w:r>
              <w:rPr>
                <w:rFonts w:ascii="宋体" w:eastAsia="宋体" w:hAnsi="宋体" w:hint="eastAsia"/>
              </w:rPr>
              <w:t>基准日下属基金份额净值（单位：元）</w:t>
            </w:r>
          </w:p>
        </w:tc>
        <w:tc>
          <w:tcPr>
            <w:tcW w:w="2841" w:type="dxa"/>
            <w:vAlign w:val="center"/>
          </w:tcPr>
          <w:p w:rsidR="00F8510B" w:rsidRPr="00F8510B" w:rsidRDefault="00F8510B" w:rsidP="00F8510B">
            <w:pPr>
              <w:rPr>
                <w:rFonts w:ascii="宋体" w:eastAsia="宋体" w:hAnsi="宋体"/>
              </w:rPr>
            </w:pPr>
            <w:r>
              <w:rPr>
                <w:rFonts w:ascii="宋体" w:eastAsia="宋体" w:hAnsi="宋体"/>
              </w:rPr>
              <w:t>1.0193</w:t>
            </w:r>
          </w:p>
        </w:tc>
        <w:tc>
          <w:tcPr>
            <w:tcW w:w="2841" w:type="dxa"/>
            <w:vAlign w:val="center"/>
          </w:tcPr>
          <w:p w:rsidR="00F8510B" w:rsidRPr="00F8510B" w:rsidRDefault="00F8510B" w:rsidP="00F8510B">
            <w:pPr>
              <w:rPr>
                <w:rFonts w:ascii="宋体" w:eastAsia="宋体" w:hAnsi="宋体"/>
              </w:rPr>
            </w:pPr>
            <w:r>
              <w:rPr>
                <w:rFonts w:ascii="宋体" w:eastAsia="宋体" w:hAnsi="宋体"/>
              </w:rPr>
              <w:t>1.0197</w:t>
            </w:r>
          </w:p>
        </w:tc>
      </w:tr>
      <w:tr w:rsidR="00F8510B" w:rsidTr="00F8510B">
        <w:tc>
          <w:tcPr>
            <w:tcW w:w="1420" w:type="dxa"/>
            <w:vMerge/>
            <w:vAlign w:val="center"/>
          </w:tcPr>
          <w:p w:rsidR="00F8510B" w:rsidRDefault="00F8510B" w:rsidP="00F8510B"/>
        </w:tc>
        <w:tc>
          <w:tcPr>
            <w:tcW w:w="1420" w:type="dxa"/>
            <w:vAlign w:val="center"/>
          </w:tcPr>
          <w:p w:rsidR="00F8510B" w:rsidRPr="00F8510B" w:rsidRDefault="00F8510B" w:rsidP="00F8510B">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F8510B" w:rsidRPr="00F8510B" w:rsidRDefault="00F8510B" w:rsidP="00F8510B">
            <w:pPr>
              <w:rPr>
                <w:rFonts w:ascii="宋体" w:eastAsia="宋体" w:hAnsi="宋体"/>
              </w:rPr>
            </w:pPr>
            <w:r>
              <w:rPr>
                <w:rFonts w:ascii="宋体" w:eastAsia="宋体" w:hAnsi="宋体"/>
              </w:rPr>
              <w:t>115,163,034.85</w:t>
            </w:r>
          </w:p>
        </w:tc>
        <w:tc>
          <w:tcPr>
            <w:tcW w:w="2841" w:type="dxa"/>
            <w:vAlign w:val="center"/>
          </w:tcPr>
          <w:p w:rsidR="00F8510B" w:rsidRPr="00F8510B" w:rsidRDefault="00F8510B" w:rsidP="00F8510B">
            <w:pPr>
              <w:rPr>
                <w:rFonts w:ascii="宋体" w:eastAsia="宋体" w:hAnsi="宋体"/>
              </w:rPr>
            </w:pPr>
            <w:r>
              <w:rPr>
                <w:rFonts w:ascii="宋体" w:eastAsia="宋体" w:hAnsi="宋体"/>
              </w:rPr>
              <w:t>2.13</w:t>
            </w:r>
          </w:p>
        </w:tc>
      </w:tr>
      <w:tr w:rsidR="00F8510B" w:rsidTr="00F8510B">
        <w:tc>
          <w:tcPr>
            <w:tcW w:w="1420" w:type="dxa"/>
            <w:vMerge/>
            <w:vAlign w:val="center"/>
          </w:tcPr>
          <w:p w:rsidR="00F8510B" w:rsidRDefault="00F8510B" w:rsidP="00F8510B"/>
        </w:tc>
        <w:tc>
          <w:tcPr>
            <w:tcW w:w="1420" w:type="dxa"/>
            <w:vAlign w:val="center"/>
          </w:tcPr>
          <w:p w:rsidR="00F8510B" w:rsidRPr="00F8510B" w:rsidRDefault="00F8510B" w:rsidP="00F8510B">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F8510B" w:rsidRPr="00F8510B" w:rsidRDefault="00F8510B" w:rsidP="00F8510B">
            <w:pPr>
              <w:rPr>
                <w:rFonts w:ascii="宋体" w:eastAsia="宋体" w:hAnsi="宋体"/>
              </w:rPr>
            </w:pPr>
            <w:r>
              <w:rPr>
                <w:rFonts w:ascii="宋体" w:eastAsia="宋体" w:hAnsi="宋体"/>
              </w:rPr>
              <w:t>-</w:t>
            </w:r>
          </w:p>
        </w:tc>
        <w:tc>
          <w:tcPr>
            <w:tcW w:w="2841" w:type="dxa"/>
            <w:vAlign w:val="center"/>
          </w:tcPr>
          <w:p w:rsidR="00F8510B" w:rsidRPr="00F8510B" w:rsidRDefault="00F8510B" w:rsidP="00F8510B">
            <w:pPr>
              <w:rPr>
                <w:rFonts w:ascii="宋体" w:eastAsia="宋体" w:hAnsi="宋体"/>
              </w:rPr>
            </w:pPr>
            <w:r>
              <w:rPr>
                <w:rFonts w:ascii="宋体" w:eastAsia="宋体" w:hAnsi="宋体"/>
              </w:rPr>
              <w:t>-</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F8510B" w:rsidRPr="00F8510B" w:rsidRDefault="00F8510B" w:rsidP="00F8510B">
            <w:pPr>
              <w:rPr>
                <w:rFonts w:ascii="宋体" w:eastAsia="宋体" w:hAnsi="宋体"/>
              </w:rPr>
            </w:pPr>
            <w:r>
              <w:rPr>
                <w:rFonts w:ascii="宋体" w:eastAsia="宋体" w:hAnsi="宋体"/>
              </w:rPr>
              <w:t>0.1920</w:t>
            </w:r>
          </w:p>
        </w:tc>
        <w:tc>
          <w:tcPr>
            <w:tcW w:w="2841" w:type="dxa"/>
            <w:vAlign w:val="center"/>
          </w:tcPr>
          <w:p w:rsidR="00F8510B" w:rsidRPr="00F8510B" w:rsidRDefault="00F8510B" w:rsidP="00F8510B">
            <w:pPr>
              <w:rPr>
                <w:rFonts w:ascii="宋体" w:eastAsia="宋体" w:hAnsi="宋体"/>
              </w:rPr>
            </w:pPr>
            <w:r>
              <w:rPr>
                <w:rFonts w:ascii="宋体" w:eastAsia="宋体" w:hAnsi="宋体"/>
              </w:rPr>
              <w:t>0.1960</w:t>
            </w:r>
          </w:p>
        </w:tc>
      </w:tr>
      <w:tr w:rsidR="00F8510B" w:rsidTr="00F8510B">
        <w:tc>
          <w:tcPr>
            <w:tcW w:w="2840" w:type="dxa"/>
            <w:gridSpan w:val="2"/>
            <w:vAlign w:val="center"/>
          </w:tcPr>
          <w:p w:rsidR="00F8510B" w:rsidRPr="00F8510B" w:rsidRDefault="00F8510B" w:rsidP="00F8510B">
            <w:pPr>
              <w:rPr>
                <w:rFonts w:ascii="宋体" w:eastAsia="宋体" w:hAnsi="宋体"/>
              </w:rPr>
            </w:pPr>
            <w:r>
              <w:rPr>
                <w:rFonts w:ascii="宋体" w:eastAsia="宋体" w:hAnsi="宋体" w:hint="eastAsia"/>
              </w:rPr>
              <w:t>有关年度分红次数的说明</w:t>
            </w:r>
          </w:p>
        </w:tc>
        <w:tc>
          <w:tcPr>
            <w:tcW w:w="5682" w:type="dxa"/>
            <w:gridSpan w:val="2"/>
            <w:vAlign w:val="center"/>
          </w:tcPr>
          <w:p w:rsidR="00F8510B" w:rsidRPr="00F8510B" w:rsidRDefault="00F8510B" w:rsidP="00F8510B">
            <w:pPr>
              <w:rPr>
                <w:rFonts w:ascii="宋体" w:eastAsia="宋体" w:hAnsi="宋体"/>
              </w:rPr>
            </w:pPr>
            <w:r>
              <w:rPr>
                <w:rFonts w:ascii="宋体" w:eastAsia="宋体" w:hAnsi="宋体" w:hint="eastAsia"/>
              </w:rPr>
              <w:t>本次分红为</w:t>
            </w:r>
            <w:r>
              <w:rPr>
                <w:rFonts w:ascii="宋体" w:eastAsia="宋体" w:hAnsi="宋体"/>
              </w:rPr>
              <w:t>2024年度的第1次分红</w:t>
            </w:r>
          </w:p>
        </w:tc>
      </w:tr>
    </w:tbl>
    <w:p w:rsidR="00F8510B" w:rsidRDefault="00F8510B" w:rsidP="00F8510B"/>
    <w:p w:rsidR="00F8510B" w:rsidRDefault="00F8510B" w:rsidP="00F8510B">
      <w:pPr>
        <w:pStyle w:val="a4"/>
        <w:spacing w:before="0" w:beforeAutospacing="0" w:after="0" w:afterAutospacing="0" w:line="360" w:lineRule="auto"/>
        <w:ind w:firstLine="420"/>
        <w:divId w:val="1739017577"/>
        <w:rPr>
          <w:sz w:val="21"/>
          <w:szCs w:val="21"/>
        </w:rPr>
      </w:pPr>
      <w:r w:rsidRPr="00F8510B">
        <w:rPr>
          <w:rFonts w:hint="eastAsia"/>
          <w:sz w:val="21"/>
        </w:rPr>
        <w:t>注：</w:t>
      </w:r>
      <w:r>
        <w:rPr>
          <w:rFonts w:hint="eastAsia"/>
          <w:sz w:val="21"/>
          <w:szCs w:val="21"/>
        </w:rPr>
        <w:t> 本基金A类基金份额每10份基金份额发放红利0.1920元人民币，本基金C类基金份额每10份基金份额发放红利0.1960元人民币。 </w:t>
      </w:r>
    </w:p>
    <w:p w:rsidR="00F8510B" w:rsidRDefault="00F8510B" w:rsidP="00F8510B">
      <w:pPr>
        <w:pStyle w:val="3"/>
        <w:divId w:val="1739017577"/>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权益登记日</w:t>
            </w:r>
          </w:p>
        </w:tc>
        <w:tc>
          <w:tcPr>
            <w:tcW w:w="5682" w:type="dxa"/>
            <w:vAlign w:val="center"/>
          </w:tcPr>
          <w:p w:rsidR="00F8510B" w:rsidRPr="00F8510B" w:rsidRDefault="00F8510B" w:rsidP="00F8510B">
            <w:pPr>
              <w:rPr>
                <w:rFonts w:ascii="宋体" w:eastAsia="宋体" w:hAnsi="宋体"/>
              </w:rPr>
            </w:pPr>
            <w:r>
              <w:rPr>
                <w:rFonts w:ascii="宋体" w:eastAsia="宋体" w:hAnsi="宋体"/>
              </w:rPr>
              <w:t>2024年4月15日</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除息日</w:t>
            </w:r>
          </w:p>
        </w:tc>
        <w:tc>
          <w:tcPr>
            <w:tcW w:w="5682" w:type="dxa"/>
            <w:vAlign w:val="center"/>
          </w:tcPr>
          <w:p w:rsidR="00F8510B" w:rsidRPr="00F8510B" w:rsidRDefault="00F8510B" w:rsidP="00F8510B">
            <w:pPr>
              <w:rPr>
                <w:rFonts w:ascii="宋体" w:eastAsia="宋体" w:hAnsi="宋体"/>
              </w:rPr>
            </w:pPr>
            <w:r>
              <w:rPr>
                <w:rFonts w:ascii="宋体" w:eastAsia="宋体" w:hAnsi="宋体"/>
              </w:rPr>
              <w:t>2024年4月15日</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现金红利发放日</w:t>
            </w:r>
          </w:p>
        </w:tc>
        <w:tc>
          <w:tcPr>
            <w:tcW w:w="5682" w:type="dxa"/>
            <w:vAlign w:val="center"/>
          </w:tcPr>
          <w:p w:rsidR="00F8510B" w:rsidRPr="00F8510B" w:rsidRDefault="00F8510B" w:rsidP="00F8510B">
            <w:pPr>
              <w:rPr>
                <w:rFonts w:ascii="宋体" w:eastAsia="宋体" w:hAnsi="宋体"/>
              </w:rPr>
            </w:pPr>
            <w:r>
              <w:rPr>
                <w:rFonts w:ascii="宋体" w:eastAsia="宋体" w:hAnsi="宋体"/>
              </w:rPr>
              <w:t>2024年4月17日</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分红对象</w:t>
            </w:r>
          </w:p>
        </w:tc>
        <w:tc>
          <w:tcPr>
            <w:tcW w:w="5682" w:type="dxa"/>
            <w:vAlign w:val="center"/>
          </w:tcPr>
          <w:p w:rsidR="00F8510B" w:rsidRPr="00F8510B" w:rsidRDefault="00F8510B" w:rsidP="00F8510B">
            <w:pPr>
              <w:rPr>
                <w:rFonts w:ascii="宋体" w:eastAsia="宋体" w:hAnsi="宋体"/>
              </w:rPr>
            </w:pPr>
            <w:r>
              <w:rPr>
                <w:rFonts w:ascii="宋体" w:eastAsia="宋体" w:hAnsi="宋体" w:hint="eastAsia"/>
              </w:rPr>
              <w:t>权益登记日登记在册的本基金份额持有人</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红利再投资相关事项的说明</w:t>
            </w:r>
          </w:p>
        </w:tc>
        <w:tc>
          <w:tcPr>
            <w:tcW w:w="5682" w:type="dxa"/>
            <w:vAlign w:val="center"/>
          </w:tcPr>
          <w:p w:rsidR="00F8510B" w:rsidRPr="00F8510B" w:rsidRDefault="00F8510B" w:rsidP="00F8510B">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2024年4月15日的基金份额净值为计算基准确定再投资份额，红利再投资所转换的基金份额于2024年4月16日直接划入其基金账户，2024年4月17日起投资者可以查询、赎回。</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税收相关事项的说明</w:t>
            </w:r>
          </w:p>
        </w:tc>
        <w:tc>
          <w:tcPr>
            <w:tcW w:w="5682" w:type="dxa"/>
            <w:vAlign w:val="center"/>
          </w:tcPr>
          <w:p w:rsidR="00F8510B" w:rsidRPr="00F8510B" w:rsidRDefault="00F8510B" w:rsidP="00F8510B">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F8510B" w:rsidTr="00F8510B">
        <w:trPr>
          <w:divId w:val="1739017577"/>
        </w:trPr>
        <w:tc>
          <w:tcPr>
            <w:tcW w:w="2840" w:type="dxa"/>
            <w:vAlign w:val="center"/>
          </w:tcPr>
          <w:p w:rsidR="00F8510B" w:rsidRPr="00F8510B" w:rsidRDefault="00F8510B" w:rsidP="00F8510B">
            <w:pPr>
              <w:rPr>
                <w:rFonts w:ascii="宋体" w:eastAsia="宋体" w:hAnsi="宋体"/>
              </w:rPr>
            </w:pPr>
            <w:r>
              <w:rPr>
                <w:rFonts w:ascii="宋体" w:eastAsia="宋体" w:hAnsi="宋体" w:hint="eastAsia"/>
              </w:rPr>
              <w:t>费用相关事项的说明</w:t>
            </w:r>
          </w:p>
        </w:tc>
        <w:tc>
          <w:tcPr>
            <w:tcW w:w="5682" w:type="dxa"/>
            <w:vAlign w:val="center"/>
          </w:tcPr>
          <w:p w:rsidR="00F8510B" w:rsidRPr="00F8510B" w:rsidRDefault="00F8510B" w:rsidP="00F8510B">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F8510B" w:rsidRDefault="00F8510B" w:rsidP="00F8510B">
      <w:pPr>
        <w:divId w:val="1739017577"/>
      </w:pPr>
    </w:p>
    <w:p w:rsidR="00F8510B" w:rsidRDefault="00F8510B" w:rsidP="00F8510B">
      <w:pPr>
        <w:pStyle w:val="3"/>
        <w:divId w:val="1739017577"/>
        <w:rPr>
          <w:rFonts w:ascii="宋体" w:eastAsia="宋体" w:hAnsi="宋体"/>
          <w:sz w:val="21"/>
        </w:rPr>
      </w:pPr>
      <w:r w:rsidRPr="00F8510B">
        <w:rPr>
          <w:rFonts w:ascii="宋体" w:eastAsia="宋体" w:hAnsi="宋体" w:hint="eastAsia"/>
          <w:sz w:val="21"/>
        </w:rPr>
        <w:t>3 其他需要提示的事项</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t xml:space="preserve">（1）权益登记日申购或转换转入的基金份额不享有本次分红权益，赎回或转换转出的基金份额享有本次分红权益。 </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t xml:space="preserve">（2）对于未选择本基金具体分红方式的投资者，本基金默认的分红方式为现金红利方式。 </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4月15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t xml:space="preserve">（4）若投资者选择红利再投资方式并在2024年4月15日申请赎回基金份额的，其账户余额（包括红利再投资份额）低于1.00份时，本基金将自动计算其分红收益，并与赎回款一起以现金形式支付。 </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F8510B" w:rsidRDefault="00F8510B">
      <w:pPr>
        <w:pStyle w:val="a4"/>
        <w:spacing w:before="0" w:beforeAutospacing="0" w:after="0" w:afterAutospacing="0" w:line="360" w:lineRule="auto"/>
        <w:ind w:firstLine="420"/>
        <w:divId w:val="2025590803"/>
        <w:rPr>
          <w:sz w:val="21"/>
          <w:szCs w:val="21"/>
        </w:rPr>
      </w:pPr>
      <w:r>
        <w:rPr>
          <w:rFonts w:hint="eastAsia"/>
          <w:sz w:val="21"/>
          <w:szCs w:val="21"/>
        </w:rPr>
        <w:lastRenderedPageBreak/>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F8510B" w:rsidRDefault="00F8510B" w:rsidP="00F8510B">
      <w:pPr>
        <w:pStyle w:val="a4"/>
        <w:spacing w:before="0" w:beforeAutospacing="0" w:after="0" w:afterAutospacing="0" w:line="360" w:lineRule="auto"/>
        <w:ind w:firstLine="420"/>
        <w:divId w:val="2025590803"/>
        <w:rPr>
          <w:sz w:val="21"/>
          <w:szCs w:val="21"/>
        </w:rPr>
      </w:pPr>
      <w:r>
        <w:rPr>
          <w:rFonts w:hint="eastAsia"/>
          <w:sz w:val="21"/>
          <w:szCs w:val="21"/>
        </w:rPr>
        <w:t xml:space="preserve">特此公告。 </w:t>
      </w:r>
    </w:p>
    <w:p w:rsidR="00F8510B" w:rsidRDefault="00F8510B" w:rsidP="00F8510B">
      <w:pPr>
        <w:pStyle w:val="a4"/>
        <w:spacing w:before="0" w:beforeAutospacing="0" w:after="0" w:afterAutospacing="0" w:line="360" w:lineRule="auto"/>
        <w:ind w:firstLine="420"/>
        <w:divId w:val="2025590803"/>
        <w:rPr>
          <w:sz w:val="21"/>
          <w:szCs w:val="21"/>
        </w:rPr>
      </w:pPr>
    </w:p>
    <w:p w:rsidR="00F8510B" w:rsidRDefault="00F8510B" w:rsidP="00F8510B">
      <w:pPr>
        <w:pStyle w:val="a4"/>
        <w:spacing w:before="0" w:beforeAutospacing="0" w:after="0" w:afterAutospacing="0" w:line="360" w:lineRule="auto"/>
        <w:ind w:firstLine="420"/>
        <w:divId w:val="2025590803"/>
        <w:rPr>
          <w:sz w:val="21"/>
          <w:szCs w:val="21"/>
        </w:rPr>
      </w:pPr>
    </w:p>
    <w:p w:rsidR="00F8510B" w:rsidRDefault="00F8510B" w:rsidP="00F8510B">
      <w:pPr>
        <w:pStyle w:val="a4"/>
        <w:spacing w:before="0" w:beforeAutospacing="0" w:after="0" w:afterAutospacing="0" w:line="360" w:lineRule="auto"/>
        <w:ind w:firstLine="420"/>
        <w:divId w:val="2025590803"/>
        <w:rPr>
          <w:sz w:val="21"/>
          <w:szCs w:val="21"/>
        </w:rPr>
      </w:pPr>
    </w:p>
    <w:p w:rsidR="00F8510B" w:rsidRDefault="00F8510B" w:rsidP="00F8510B">
      <w:pPr>
        <w:pStyle w:val="a4"/>
        <w:spacing w:before="0" w:beforeAutospacing="0" w:after="0" w:afterAutospacing="0" w:line="360" w:lineRule="auto"/>
        <w:ind w:firstLine="420"/>
        <w:jc w:val="right"/>
        <w:divId w:val="2025590803"/>
        <w:rPr>
          <w:sz w:val="21"/>
          <w:szCs w:val="21"/>
        </w:rPr>
      </w:pPr>
      <w:r w:rsidRPr="00F8510B">
        <w:rPr>
          <w:rFonts w:hint="eastAsia"/>
          <w:sz w:val="21"/>
          <w:szCs w:val="21"/>
        </w:rPr>
        <w:t>博时基金管理有限公司</w:t>
      </w:r>
    </w:p>
    <w:p w:rsidR="00F8510B" w:rsidRPr="00F8510B" w:rsidRDefault="00F8510B" w:rsidP="00F8510B">
      <w:pPr>
        <w:pStyle w:val="a4"/>
        <w:spacing w:before="0" w:beforeAutospacing="0" w:after="0" w:afterAutospacing="0" w:line="360" w:lineRule="auto"/>
        <w:ind w:firstLine="420"/>
        <w:jc w:val="right"/>
        <w:divId w:val="2025590803"/>
        <w:rPr>
          <w:sz w:val="21"/>
          <w:szCs w:val="21"/>
        </w:rPr>
      </w:pPr>
      <w:r w:rsidRPr="00F8510B">
        <w:rPr>
          <w:sz w:val="21"/>
          <w:szCs w:val="21"/>
        </w:rPr>
        <w:t>2024年4月11日</w:t>
      </w:r>
    </w:p>
    <w:sectPr w:rsidR="00F8510B" w:rsidRPr="00F8510B" w:rsidSect="001560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510B"/>
    <w:rsid w:val="00156058"/>
    <w:rsid w:val="007A4D3C"/>
    <w:rsid w:val="00F8510B"/>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58"/>
    <w:pPr>
      <w:widowControl w:val="0"/>
      <w:jc w:val="both"/>
    </w:pPr>
  </w:style>
  <w:style w:type="paragraph" w:styleId="3">
    <w:name w:val="heading 3"/>
    <w:basedOn w:val="a"/>
    <w:next w:val="a"/>
    <w:link w:val="3Char"/>
    <w:uiPriority w:val="9"/>
    <w:unhideWhenUsed/>
    <w:qFormat/>
    <w:rsid w:val="00F8510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8510B"/>
    <w:rPr>
      <w:b/>
      <w:bCs/>
      <w:sz w:val="32"/>
      <w:szCs w:val="32"/>
    </w:rPr>
  </w:style>
  <w:style w:type="table" w:styleId="a3">
    <w:name w:val="Table Grid"/>
    <w:basedOn w:val="a1"/>
    <w:uiPriority w:val="59"/>
    <w:rsid w:val="00F85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851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F8510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8510B"/>
    <w:rPr>
      <w:b/>
      <w:bCs/>
      <w:sz w:val="32"/>
      <w:szCs w:val="32"/>
    </w:rPr>
  </w:style>
  <w:style w:type="table" w:styleId="a3">
    <w:name w:val="Table Grid"/>
    <w:basedOn w:val="a1"/>
    <w:uiPriority w:val="59"/>
    <w:rsid w:val="00F8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851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9017577">
      <w:bodyDiv w:val="1"/>
      <w:marLeft w:val="0"/>
      <w:marRight w:val="0"/>
      <w:marTop w:val="0"/>
      <w:marBottom w:val="0"/>
      <w:divBdr>
        <w:top w:val="none" w:sz="0" w:space="0" w:color="auto"/>
        <w:left w:val="none" w:sz="0" w:space="0" w:color="auto"/>
        <w:bottom w:val="none" w:sz="0" w:space="0" w:color="auto"/>
        <w:right w:val="none" w:sz="0" w:space="0" w:color="auto"/>
      </w:divBdr>
      <w:divsChild>
        <w:div w:id="202559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1425</Characters>
  <Application>Microsoft Office Word</Application>
  <DocSecurity>4</DocSecurity>
  <Lines>11</Lines>
  <Paragraphs>3</Paragraphs>
  <ScaleCrop>false</ScaleCrop>
  <Company>mycompany</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2024-04-10T16:02:00Z</dcterms:created>
  <dcterms:modified xsi:type="dcterms:W3CDTF">2024-04-10T16:02:00Z</dcterms:modified>
</cp:coreProperties>
</file>